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E2" w:rsidRDefault="004F2EE2" w:rsidP="004F2EE2">
      <w:pPr>
        <w:jc w:val="center"/>
        <w:rPr>
          <w:b/>
          <w:sz w:val="22"/>
          <w:szCs w:val="22"/>
          <w:lang w:val="es-ES"/>
        </w:rPr>
      </w:pPr>
      <w:r w:rsidRPr="00F84D4B">
        <w:rPr>
          <w:b/>
          <w:sz w:val="22"/>
          <w:szCs w:val="22"/>
          <w:lang w:val="es-ES"/>
        </w:rPr>
        <w:t xml:space="preserve">MEMORIA </w:t>
      </w:r>
      <w:r w:rsidR="00502F89">
        <w:rPr>
          <w:b/>
          <w:sz w:val="22"/>
          <w:szCs w:val="22"/>
          <w:lang w:val="es-ES"/>
        </w:rPr>
        <w:t>JUSTIFICATIVA</w:t>
      </w:r>
      <w:r w:rsidR="008C61C5">
        <w:rPr>
          <w:b/>
          <w:sz w:val="22"/>
          <w:szCs w:val="22"/>
          <w:lang w:val="es-ES"/>
        </w:rPr>
        <w:t xml:space="preserve"> DE ASIGNACION DE ZONIFICA</w:t>
      </w:r>
      <w:r w:rsidR="00586EFE">
        <w:rPr>
          <w:b/>
          <w:sz w:val="22"/>
          <w:szCs w:val="22"/>
          <w:lang w:val="es-ES"/>
        </w:rPr>
        <w:t>C</w:t>
      </w:r>
      <w:r w:rsidR="008C61C5">
        <w:rPr>
          <w:b/>
          <w:sz w:val="22"/>
          <w:szCs w:val="22"/>
          <w:lang w:val="es-ES"/>
        </w:rPr>
        <w:t>ION I4</w:t>
      </w:r>
    </w:p>
    <w:p w:rsidR="00F84D4B" w:rsidRDefault="00F84D4B" w:rsidP="00F84D4B"/>
    <w:p w:rsidR="00177AC4" w:rsidRPr="00E22F0E" w:rsidRDefault="00177AC4" w:rsidP="00E22F0E">
      <w:pPr>
        <w:pStyle w:val="Subttulo"/>
        <w:rPr>
          <w:rStyle w:val="nfasis"/>
        </w:rPr>
      </w:pPr>
      <w:r w:rsidRPr="00E22F0E">
        <w:rPr>
          <w:rStyle w:val="nfasis"/>
        </w:rPr>
        <w:t>PROPIETARIO</w:t>
      </w:r>
      <w:r w:rsidRPr="00E22F0E">
        <w:rPr>
          <w:rStyle w:val="nfasis"/>
        </w:rPr>
        <w:tab/>
      </w:r>
      <w:r w:rsidRPr="00E22F0E">
        <w:rPr>
          <w:rStyle w:val="nfasis"/>
        </w:rPr>
        <w:tab/>
      </w:r>
      <w:r w:rsidRPr="00E22F0E">
        <w:rPr>
          <w:rStyle w:val="nfasis"/>
        </w:rPr>
        <w:tab/>
        <w:t>:</w:t>
      </w:r>
      <w:r w:rsidRPr="00E22F0E">
        <w:rPr>
          <w:rStyle w:val="nfasis"/>
        </w:rPr>
        <w:tab/>
      </w:r>
      <w:r w:rsidR="001265E1" w:rsidRPr="00E22F0E">
        <w:rPr>
          <w:rStyle w:val="nfasis"/>
        </w:rPr>
        <w:t>ESTELA RUIZ AVILA</w:t>
      </w:r>
      <w:r w:rsidR="00586EFE" w:rsidRPr="00E22F0E">
        <w:rPr>
          <w:rStyle w:val="nfasis"/>
        </w:rPr>
        <w:t xml:space="preserve"> DE </w:t>
      </w:r>
      <w:r w:rsidR="00586EFE" w:rsidRPr="00E22F0E">
        <w:rPr>
          <w:rStyle w:val="nfasis"/>
        </w:rPr>
        <w:tab/>
      </w:r>
      <w:r w:rsidR="00586EFE" w:rsidRPr="00E22F0E">
        <w:rPr>
          <w:rStyle w:val="nfasis"/>
        </w:rPr>
        <w:tab/>
      </w:r>
      <w:r w:rsidR="00586EFE" w:rsidRPr="00E22F0E">
        <w:rPr>
          <w:rStyle w:val="nfasis"/>
        </w:rPr>
        <w:tab/>
      </w:r>
      <w:r w:rsidR="00586EFE" w:rsidRPr="00E22F0E">
        <w:rPr>
          <w:rStyle w:val="nfasis"/>
        </w:rPr>
        <w:tab/>
      </w:r>
      <w:r w:rsidR="00586EFE" w:rsidRPr="00E22F0E">
        <w:rPr>
          <w:rStyle w:val="nfasis"/>
        </w:rPr>
        <w:tab/>
      </w:r>
      <w:r w:rsidR="00586EFE" w:rsidRPr="00E22F0E">
        <w:rPr>
          <w:rStyle w:val="nfasis"/>
        </w:rPr>
        <w:tab/>
      </w:r>
      <w:r w:rsidR="00586EFE" w:rsidRPr="00E22F0E">
        <w:rPr>
          <w:rStyle w:val="nfasis"/>
        </w:rPr>
        <w:tab/>
      </w:r>
      <w:r w:rsidR="00586EFE" w:rsidRPr="00E22F0E">
        <w:rPr>
          <w:rStyle w:val="nfasis"/>
        </w:rPr>
        <w:tab/>
        <w:t>HEREDIA</w:t>
      </w:r>
    </w:p>
    <w:p w:rsidR="00177AC4" w:rsidRPr="00E22F0E" w:rsidRDefault="00177AC4" w:rsidP="00E22F0E">
      <w:pPr>
        <w:pStyle w:val="Subttulo"/>
        <w:rPr>
          <w:rStyle w:val="nfasis"/>
        </w:rPr>
      </w:pPr>
      <w:r w:rsidRPr="00E22F0E">
        <w:rPr>
          <w:rStyle w:val="nfasis"/>
        </w:rPr>
        <w:t>UBICACIÓN</w:t>
      </w:r>
      <w:r w:rsidRPr="00E22F0E">
        <w:rPr>
          <w:rStyle w:val="nfasis"/>
        </w:rPr>
        <w:tab/>
      </w:r>
      <w:r w:rsidRPr="00E22F0E">
        <w:rPr>
          <w:rStyle w:val="nfasis"/>
        </w:rPr>
        <w:tab/>
        <w:t xml:space="preserve"> REGION</w:t>
      </w:r>
      <w:r w:rsidRPr="00E22F0E">
        <w:rPr>
          <w:rStyle w:val="nfasis"/>
        </w:rPr>
        <w:tab/>
        <w:t>:</w:t>
      </w:r>
      <w:r w:rsidRPr="00E22F0E">
        <w:rPr>
          <w:rStyle w:val="nfasis"/>
        </w:rPr>
        <w:tab/>
        <w:t>LIMA PROVINCIAS</w:t>
      </w:r>
    </w:p>
    <w:p w:rsidR="00177AC4" w:rsidRPr="00E22F0E" w:rsidRDefault="00177AC4" w:rsidP="00E22F0E">
      <w:pPr>
        <w:pStyle w:val="Subttulo"/>
        <w:rPr>
          <w:rStyle w:val="nfasis"/>
        </w:rPr>
      </w:pPr>
      <w:r w:rsidRPr="00E22F0E">
        <w:rPr>
          <w:rStyle w:val="nfasis"/>
        </w:rPr>
        <w:tab/>
      </w:r>
      <w:r w:rsidRPr="00E22F0E">
        <w:rPr>
          <w:rStyle w:val="nfasis"/>
        </w:rPr>
        <w:tab/>
      </w:r>
      <w:r w:rsidRPr="00E22F0E">
        <w:rPr>
          <w:rStyle w:val="nfasis"/>
        </w:rPr>
        <w:tab/>
      </w:r>
      <w:r w:rsidRPr="00E22F0E">
        <w:rPr>
          <w:rStyle w:val="nfasis"/>
        </w:rPr>
        <w:tab/>
        <w:t>PROVINCIA</w:t>
      </w:r>
      <w:r w:rsidRPr="00E22F0E">
        <w:rPr>
          <w:rStyle w:val="nfasis"/>
        </w:rPr>
        <w:tab/>
        <w:t>:</w:t>
      </w:r>
      <w:r w:rsidRPr="00E22F0E">
        <w:rPr>
          <w:rStyle w:val="nfasis"/>
        </w:rPr>
        <w:tab/>
        <w:t>CAÑETE</w:t>
      </w:r>
    </w:p>
    <w:p w:rsidR="00177AC4" w:rsidRPr="00E22F0E" w:rsidRDefault="00177AC4" w:rsidP="00E22F0E">
      <w:pPr>
        <w:pStyle w:val="Subttulo"/>
        <w:rPr>
          <w:rStyle w:val="nfasis"/>
        </w:rPr>
      </w:pPr>
      <w:r w:rsidRPr="00E22F0E">
        <w:rPr>
          <w:rStyle w:val="nfasis"/>
        </w:rPr>
        <w:tab/>
      </w:r>
      <w:r w:rsidRPr="00E22F0E">
        <w:rPr>
          <w:rStyle w:val="nfasis"/>
        </w:rPr>
        <w:tab/>
      </w:r>
      <w:r w:rsidRPr="00E22F0E">
        <w:rPr>
          <w:rStyle w:val="nfasis"/>
        </w:rPr>
        <w:tab/>
      </w:r>
      <w:r w:rsidRPr="00E22F0E">
        <w:rPr>
          <w:rStyle w:val="nfasis"/>
        </w:rPr>
        <w:tab/>
        <w:t>DISTRITO</w:t>
      </w:r>
      <w:r w:rsidRPr="00E22F0E">
        <w:rPr>
          <w:rStyle w:val="nfasis"/>
        </w:rPr>
        <w:tab/>
        <w:t>:</w:t>
      </w:r>
      <w:r w:rsidRPr="00E22F0E">
        <w:rPr>
          <w:rStyle w:val="nfasis"/>
        </w:rPr>
        <w:tab/>
        <w:t>CHILCA</w:t>
      </w:r>
    </w:p>
    <w:p w:rsidR="00177AC4" w:rsidRPr="00E22F0E" w:rsidRDefault="00177AC4" w:rsidP="00E22F0E">
      <w:pPr>
        <w:pStyle w:val="Subttulo"/>
        <w:rPr>
          <w:rStyle w:val="nfasis"/>
        </w:rPr>
      </w:pPr>
      <w:r w:rsidRPr="00E22F0E">
        <w:rPr>
          <w:rStyle w:val="nfasis"/>
        </w:rPr>
        <w:t>PREDIO               :</w:t>
      </w:r>
      <w:r w:rsidRPr="00E22F0E">
        <w:rPr>
          <w:rStyle w:val="nfasis"/>
        </w:rPr>
        <w:tab/>
        <w:t xml:space="preserve">Lote </w:t>
      </w:r>
      <w:r w:rsidR="001265E1" w:rsidRPr="00E22F0E">
        <w:rPr>
          <w:rStyle w:val="nfasis"/>
        </w:rPr>
        <w:t>3</w:t>
      </w:r>
      <w:r w:rsidRPr="00E22F0E">
        <w:rPr>
          <w:rStyle w:val="nfasis"/>
        </w:rPr>
        <w:t xml:space="preserve"> PAMPAS Y HOYADAS DE </w:t>
      </w:r>
      <w:r w:rsidRPr="00E22F0E">
        <w:rPr>
          <w:rStyle w:val="nfasis"/>
        </w:rPr>
        <w:tab/>
        <w:t xml:space="preserve">                   CALANGUILLO (ALTURA KM. 67 MARGEN IZQUIERDO DE LA PANAMERICANA SUR)</w:t>
      </w:r>
    </w:p>
    <w:p w:rsidR="00177AC4" w:rsidRPr="00E22F0E" w:rsidRDefault="00177AC4" w:rsidP="00E22F0E">
      <w:pPr>
        <w:pStyle w:val="Subttulo"/>
        <w:rPr>
          <w:rStyle w:val="nfasis"/>
        </w:rPr>
      </w:pPr>
      <w:r w:rsidRPr="00E22F0E">
        <w:rPr>
          <w:rStyle w:val="nfasis"/>
        </w:rPr>
        <w:t>AREA</w:t>
      </w:r>
      <w:r w:rsidRPr="00E22F0E">
        <w:rPr>
          <w:rStyle w:val="nfasis"/>
        </w:rPr>
        <w:tab/>
        <w:t>:          1</w:t>
      </w:r>
      <w:r w:rsidR="001265E1" w:rsidRPr="00E22F0E">
        <w:rPr>
          <w:rStyle w:val="nfasis"/>
        </w:rPr>
        <w:t>14</w:t>
      </w:r>
      <w:r w:rsidRPr="00E22F0E">
        <w:rPr>
          <w:rStyle w:val="nfasis"/>
        </w:rPr>
        <w:t>,</w:t>
      </w:r>
      <w:r w:rsidR="00586EFE" w:rsidRPr="00E22F0E">
        <w:rPr>
          <w:rStyle w:val="nfasis"/>
        </w:rPr>
        <w:t>988</w:t>
      </w:r>
      <w:r w:rsidRPr="00E22F0E">
        <w:rPr>
          <w:rStyle w:val="nfasis"/>
        </w:rPr>
        <w:t>.00 m2</w:t>
      </w:r>
      <w:r w:rsidR="00355A09" w:rsidRPr="00E22F0E">
        <w:rPr>
          <w:rStyle w:val="nfasis"/>
        </w:rPr>
        <w:t xml:space="preserve"> </w:t>
      </w:r>
      <w:r w:rsidR="00E1648F" w:rsidRPr="00E22F0E">
        <w:rPr>
          <w:rStyle w:val="nfasis"/>
        </w:rPr>
        <w:t>= 1</w:t>
      </w:r>
      <w:r w:rsidR="00586EFE" w:rsidRPr="00E22F0E">
        <w:rPr>
          <w:rStyle w:val="nfasis"/>
        </w:rPr>
        <w:t>1</w:t>
      </w:r>
      <w:r w:rsidR="00E1648F" w:rsidRPr="00E22F0E">
        <w:rPr>
          <w:rStyle w:val="nfasis"/>
        </w:rPr>
        <w:t>.</w:t>
      </w:r>
      <w:r w:rsidR="00586EFE" w:rsidRPr="00E22F0E">
        <w:rPr>
          <w:rStyle w:val="nfasis"/>
        </w:rPr>
        <w:t>4988</w:t>
      </w:r>
      <w:r w:rsidRPr="00E22F0E">
        <w:rPr>
          <w:rStyle w:val="nfasis"/>
        </w:rPr>
        <w:t xml:space="preserve"> H</w:t>
      </w:r>
      <w:r w:rsidR="00355A09" w:rsidRPr="00E22F0E">
        <w:rPr>
          <w:rStyle w:val="nfasis"/>
        </w:rPr>
        <w:t>A.</w:t>
      </w:r>
    </w:p>
    <w:p w:rsidR="00A26BF5" w:rsidRPr="00E22F0E" w:rsidRDefault="00586EFE" w:rsidP="00E22F0E">
      <w:pPr>
        <w:pStyle w:val="Subttulo"/>
        <w:rPr>
          <w:rStyle w:val="nfasis"/>
        </w:rPr>
      </w:pPr>
      <w:r w:rsidRPr="00E22F0E">
        <w:rPr>
          <w:rStyle w:val="nfasis"/>
        </w:rPr>
        <w:t>PERIMETRO:</w:t>
      </w:r>
      <w:r w:rsidR="00177AC4" w:rsidRPr="00E22F0E">
        <w:rPr>
          <w:rStyle w:val="nfasis"/>
        </w:rPr>
        <w:tab/>
      </w:r>
      <w:r w:rsidRPr="00E22F0E">
        <w:rPr>
          <w:rStyle w:val="nfasis"/>
        </w:rPr>
        <w:t xml:space="preserve">           1</w:t>
      </w:r>
      <w:r w:rsidR="00177AC4" w:rsidRPr="00E22F0E">
        <w:rPr>
          <w:rStyle w:val="nfasis"/>
        </w:rPr>
        <w:t>,</w:t>
      </w:r>
      <w:r w:rsidRPr="00E22F0E">
        <w:rPr>
          <w:rStyle w:val="nfasis"/>
        </w:rPr>
        <w:t>843</w:t>
      </w:r>
      <w:r w:rsidR="00177AC4" w:rsidRPr="00E22F0E">
        <w:rPr>
          <w:rStyle w:val="nfasis"/>
        </w:rPr>
        <w:t>.10 m.</w:t>
      </w:r>
    </w:p>
    <w:p w:rsidR="00F84D4B" w:rsidRDefault="000841B7" w:rsidP="00F84D4B">
      <w:pPr>
        <w:tabs>
          <w:tab w:val="left" w:pos="360"/>
        </w:tabs>
        <w:jc w:val="both"/>
        <w:rPr>
          <w:rFonts w:cs="Arial"/>
          <w:b/>
          <w:caps/>
          <w:sz w:val="22"/>
        </w:rPr>
      </w:pPr>
      <w:r>
        <w:rPr>
          <w:rFonts w:cs="Arial"/>
          <w:b/>
          <w:bCs/>
          <w:sz w:val="22"/>
        </w:rPr>
        <w:t>I</w:t>
      </w:r>
      <w:r w:rsidR="00F84D4B" w:rsidRPr="00F84D4B">
        <w:rPr>
          <w:rFonts w:cs="Arial"/>
          <w:b/>
          <w:bCs/>
          <w:sz w:val="22"/>
        </w:rPr>
        <w:t>.</w:t>
      </w:r>
      <w:r w:rsidR="00F84D4B">
        <w:rPr>
          <w:rFonts w:cs="Arial"/>
          <w:b/>
          <w:bCs/>
          <w:sz w:val="22"/>
        </w:rPr>
        <w:t xml:space="preserve"> </w:t>
      </w:r>
      <w:r w:rsidR="00237288">
        <w:rPr>
          <w:rFonts w:cs="Arial"/>
          <w:b/>
          <w:caps/>
          <w:sz w:val="22"/>
        </w:rPr>
        <w:t>introduccion</w:t>
      </w:r>
      <w:r w:rsidR="00F84D4B">
        <w:rPr>
          <w:rFonts w:cs="Arial"/>
          <w:b/>
          <w:caps/>
          <w:sz w:val="22"/>
        </w:rPr>
        <w:t xml:space="preserve"> </w:t>
      </w:r>
    </w:p>
    <w:p w:rsidR="00F84D4B" w:rsidRDefault="00F84D4B" w:rsidP="00F84D4B">
      <w:pPr>
        <w:tabs>
          <w:tab w:val="left" w:pos="360"/>
        </w:tabs>
        <w:ind w:left="283"/>
        <w:jc w:val="both"/>
        <w:rPr>
          <w:rFonts w:cs="Arial"/>
          <w:bCs/>
          <w:sz w:val="22"/>
        </w:rPr>
      </w:pPr>
    </w:p>
    <w:p w:rsidR="004001A0" w:rsidRDefault="004001A0" w:rsidP="00DD6041">
      <w:pPr>
        <w:tabs>
          <w:tab w:val="left" w:pos="360"/>
        </w:tabs>
        <w:jc w:val="both"/>
        <w:rPr>
          <w:rFonts w:cs="Arial"/>
          <w:bCs/>
          <w:sz w:val="22"/>
        </w:rPr>
      </w:pPr>
      <w:r>
        <w:rPr>
          <w:rFonts w:cs="Arial"/>
          <w:bCs/>
          <w:sz w:val="22"/>
        </w:rPr>
        <w:t>El crecimiento desordenado y caótico que caracteriza a nuestras ciudades</w:t>
      </w:r>
      <w:r w:rsidR="00E1648F">
        <w:rPr>
          <w:rFonts w:cs="Arial"/>
          <w:bCs/>
          <w:sz w:val="22"/>
        </w:rPr>
        <w:t xml:space="preserve"> de América Latina</w:t>
      </w:r>
      <w:r>
        <w:rPr>
          <w:rFonts w:cs="Arial"/>
          <w:bCs/>
          <w:sz w:val="22"/>
        </w:rPr>
        <w:t xml:space="preserve">, producto de la carencia o mala planificación de ellas, ha ocasionado un espacio urbano no apto para atender las necesidades de sus pobladores, que sufren la falta de espacios públicos adecuados, salud mental </w:t>
      </w:r>
      <w:r w:rsidR="008C61C5">
        <w:rPr>
          <w:rFonts w:cs="Arial"/>
          <w:bCs/>
          <w:sz w:val="22"/>
        </w:rPr>
        <w:t>deficitaria</w:t>
      </w:r>
      <w:r>
        <w:rPr>
          <w:rFonts w:cs="Arial"/>
          <w:bCs/>
          <w:sz w:val="22"/>
        </w:rPr>
        <w:t xml:space="preserve">, </w:t>
      </w:r>
      <w:r w:rsidR="008C61C5">
        <w:rPr>
          <w:rFonts w:cs="Arial"/>
          <w:bCs/>
          <w:sz w:val="22"/>
        </w:rPr>
        <w:t xml:space="preserve">incontrolable </w:t>
      </w:r>
      <w:r w:rsidR="00E1648F">
        <w:rPr>
          <w:rFonts w:cs="Arial"/>
          <w:bCs/>
          <w:sz w:val="22"/>
        </w:rPr>
        <w:t>congestión</w:t>
      </w:r>
      <w:r>
        <w:rPr>
          <w:rFonts w:cs="Arial"/>
          <w:bCs/>
          <w:sz w:val="22"/>
        </w:rPr>
        <w:t xml:space="preserve"> vehicular en sus calles, delincuencia generalizada y otros muchos problemas que solo </w:t>
      </w:r>
      <w:r w:rsidR="00610BBB">
        <w:rPr>
          <w:rFonts w:cs="Arial"/>
          <w:bCs/>
          <w:sz w:val="22"/>
        </w:rPr>
        <w:t>puede</w:t>
      </w:r>
      <w:r w:rsidR="00E1648F">
        <w:rPr>
          <w:rFonts w:cs="Arial"/>
          <w:bCs/>
          <w:sz w:val="22"/>
        </w:rPr>
        <w:t>n</w:t>
      </w:r>
      <w:r w:rsidR="00610BBB">
        <w:rPr>
          <w:rFonts w:cs="Arial"/>
          <w:bCs/>
          <w:sz w:val="22"/>
        </w:rPr>
        <w:t xml:space="preserve"> revertirse </w:t>
      </w:r>
      <w:r w:rsidR="00E1648F">
        <w:rPr>
          <w:rFonts w:cs="Arial"/>
          <w:bCs/>
          <w:sz w:val="22"/>
        </w:rPr>
        <w:t xml:space="preserve">con Planes </w:t>
      </w:r>
      <w:r w:rsidR="008C61C5">
        <w:rPr>
          <w:rFonts w:cs="Arial"/>
          <w:bCs/>
          <w:sz w:val="22"/>
        </w:rPr>
        <w:t xml:space="preserve">articulados </w:t>
      </w:r>
      <w:r w:rsidR="00E1648F">
        <w:rPr>
          <w:rFonts w:cs="Arial"/>
          <w:bCs/>
          <w:sz w:val="22"/>
        </w:rPr>
        <w:t xml:space="preserve">de desarrollo </w:t>
      </w:r>
      <w:r w:rsidR="008C61C5">
        <w:rPr>
          <w:rFonts w:cs="Arial"/>
          <w:bCs/>
          <w:sz w:val="22"/>
        </w:rPr>
        <w:t>a</w:t>
      </w:r>
      <w:r w:rsidR="00E1648F">
        <w:rPr>
          <w:rFonts w:cs="Arial"/>
          <w:bCs/>
          <w:sz w:val="22"/>
        </w:rPr>
        <w:t xml:space="preserve"> nivel nacional, regional y local.</w:t>
      </w:r>
    </w:p>
    <w:p w:rsidR="004001A0" w:rsidRDefault="004001A0" w:rsidP="00DD6041">
      <w:pPr>
        <w:tabs>
          <w:tab w:val="left" w:pos="360"/>
        </w:tabs>
        <w:jc w:val="both"/>
        <w:rPr>
          <w:rFonts w:cs="Arial"/>
          <w:bCs/>
          <w:sz w:val="22"/>
        </w:rPr>
      </w:pPr>
    </w:p>
    <w:p w:rsidR="007B4DE0" w:rsidRDefault="00433F24" w:rsidP="007B4DE0">
      <w:pPr>
        <w:pStyle w:val="Sangra2detindependiente"/>
        <w:ind w:left="0"/>
        <w:rPr>
          <w:sz w:val="22"/>
        </w:rPr>
      </w:pPr>
      <w:r>
        <w:rPr>
          <w:sz w:val="22"/>
        </w:rPr>
        <w:t xml:space="preserve">El planeamiento de los usos del suelo en el crecimiento del área urbana pasa por resolver el conflicto entre la seguridad legal de la tenencia de la propiedad y la prerrogativa de salvaguardar el interés público para alcanzar el bienestar común, así la ocupación del suelo debe considerar diversas cesiones de parte de los propietarios y/o promotores de nuevas áreas urbanas, para redes viales, </w:t>
      </w:r>
      <w:r w:rsidR="00586EFE">
        <w:rPr>
          <w:sz w:val="22"/>
        </w:rPr>
        <w:t>así</w:t>
      </w:r>
      <w:r>
        <w:rPr>
          <w:sz w:val="22"/>
        </w:rPr>
        <w:t xml:space="preserve"> como aportes para recreación publica (parques, plazas), equipamiento urbano para centros educativos, centros de salud, etc. en un proceso  que deben seguir ante las municipalidades, denominado Habilitación urbana, que debe adecuarse a la zonificación urbana como instrumento del Plan de desarrollo, que sirve para determinar el uso y la ocupación del suelo, además de los parámetros urbanísticos y los parámetros arquitectónicos para la edificación.</w:t>
      </w:r>
    </w:p>
    <w:p w:rsidR="007B4DE0" w:rsidRDefault="007B4DE0" w:rsidP="007B4DE0">
      <w:pPr>
        <w:pStyle w:val="Sangra2detindependiente"/>
        <w:ind w:left="0"/>
        <w:rPr>
          <w:sz w:val="22"/>
        </w:rPr>
      </w:pPr>
    </w:p>
    <w:p w:rsidR="00034F52" w:rsidRDefault="007B4DE0" w:rsidP="00BE5C98">
      <w:pPr>
        <w:pStyle w:val="Sangra2detindependiente"/>
        <w:tabs>
          <w:tab w:val="clear" w:pos="360"/>
        </w:tabs>
        <w:ind w:left="0"/>
        <w:rPr>
          <w:sz w:val="22"/>
        </w:rPr>
      </w:pPr>
      <w:r w:rsidRPr="007B4DE0">
        <w:rPr>
          <w:sz w:val="22"/>
        </w:rPr>
        <w:t xml:space="preserve">La zonificación </w:t>
      </w:r>
      <w:r>
        <w:rPr>
          <w:sz w:val="22"/>
        </w:rPr>
        <w:t>urbana según lo establece el artículo 99 del Reglamento de Acondicionamiento territorial y desarrollo urbano sostenible, aprobado por R.S. N° 022-2016-Vivienda, cont</w:t>
      </w:r>
      <w:r w:rsidRPr="007B4DE0">
        <w:rPr>
          <w:sz w:val="22"/>
        </w:rPr>
        <w:t>iene el conjunto de normas técnicas urbanísticas para la regulación del uso y la ocupación del suelo en el ámbito de actuación y/o intervención de los Planes de Desarrollo Urbano, en función a los objetivos de desarrollo sostenible, a la capacidad de soporte del suelo y a las normas pertinentes, para localizar actividades con fines sociales y económicos como vivienda, recreación, protección y equipamiento; así como, la producción industrial, comercio, transportes y comunicaciones</w:t>
      </w:r>
      <w:r>
        <w:rPr>
          <w:sz w:val="22"/>
        </w:rPr>
        <w:t>.</w:t>
      </w:r>
    </w:p>
    <w:p w:rsidR="00BE5C98" w:rsidRDefault="00BE5C98" w:rsidP="007B4DE0">
      <w:pPr>
        <w:pStyle w:val="Sangra2detindependiente"/>
        <w:ind w:left="0"/>
        <w:rPr>
          <w:sz w:val="22"/>
        </w:rPr>
      </w:pPr>
    </w:p>
    <w:p w:rsidR="00BE5C98" w:rsidRPr="00BE5C98" w:rsidRDefault="00BE5C98" w:rsidP="00BE5C98">
      <w:pPr>
        <w:pStyle w:val="Sangra2detindependiente"/>
        <w:tabs>
          <w:tab w:val="clear" w:pos="360"/>
        </w:tabs>
        <w:ind w:left="0"/>
        <w:rPr>
          <w:b/>
          <w:sz w:val="22"/>
        </w:rPr>
      </w:pPr>
      <w:r w:rsidRPr="00BE5C98">
        <w:rPr>
          <w:b/>
          <w:sz w:val="22"/>
        </w:rPr>
        <w:t>II.- MARCO NORMATIVO</w:t>
      </w:r>
    </w:p>
    <w:p w:rsidR="00BE5C98" w:rsidRPr="00BE5C98" w:rsidRDefault="00BE5C98" w:rsidP="00BE5C98">
      <w:pPr>
        <w:pStyle w:val="Sangra2detindependiente"/>
        <w:rPr>
          <w:sz w:val="22"/>
        </w:rPr>
      </w:pPr>
    </w:p>
    <w:p w:rsidR="00BE5C98" w:rsidRPr="00BE5C98" w:rsidRDefault="00BE5C98" w:rsidP="00BE5C98">
      <w:pPr>
        <w:pStyle w:val="Sangra2detindependiente"/>
        <w:tabs>
          <w:tab w:val="clear" w:pos="360"/>
        </w:tabs>
        <w:ind w:left="0"/>
        <w:rPr>
          <w:sz w:val="22"/>
        </w:rPr>
      </w:pPr>
      <w:r w:rsidRPr="00BE5C98">
        <w:rPr>
          <w:sz w:val="22"/>
        </w:rPr>
        <w:t xml:space="preserve">- DECRETO SUPREMO 022-2016-VIVIENDA: Instrumento técnico-normativo de planificación física integral en el ámbito provincial que orienta y regula la organización físico-espacial de las actividades humanas en cuanto a la distribución, jerarquía, roles </w:t>
      </w:r>
      <w:r w:rsidRPr="00BE5C98">
        <w:rPr>
          <w:sz w:val="22"/>
        </w:rPr>
        <w:lastRenderedPageBreak/>
        <w:t>y funciones de los centros poblados en los ámbitos urbanos y rurales, la conservación y protección del recurso y patrimonio natural y cultural; el desarrollo de la inversión pública y privada en los ámbitos urbanos y rurales del territorio provincial; y la ocupación y uso planificado del territorio, para logar el mejoramiento de los niveles y calidad de vida de la población urbana y rural, bajo el enfoque territorial prospectivo, competitivo y de sostenibilidad.</w:t>
      </w:r>
    </w:p>
    <w:p w:rsidR="00BE5C98" w:rsidRPr="00BE5C98" w:rsidRDefault="00BE5C98" w:rsidP="00BE5C98">
      <w:pPr>
        <w:pStyle w:val="Sangra2detindependiente"/>
        <w:tabs>
          <w:tab w:val="clear" w:pos="360"/>
        </w:tabs>
        <w:ind w:left="0"/>
        <w:rPr>
          <w:sz w:val="22"/>
        </w:rPr>
      </w:pPr>
      <w:r w:rsidRPr="00BE5C98">
        <w:rPr>
          <w:sz w:val="22"/>
        </w:rPr>
        <w:t>El Planeamiento Integral es un instrumento técnico-normativo mediante el cual se complementan lo dispuesto por el PDM y/o el PDU, en los procesos de Habilitación urbana de terrenos rústicos. Comprende la red de vías y los usos de la totalidad del predio, así como una propuesta de integración a la trama urbana más cercana, y según lo establecido en el Reglamento Nacional de Edificaciones- RNE.</w:t>
      </w:r>
    </w:p>
    <w:p w:rsidR="00BE5C98" w:rsidRPr="00BE5C98" w:rsidRDefault="00BE5C98" w:rsidP="00BE5C98">
      <w:pPr>
        <w:pStyle w:val="Sangra2detindependiente"/>
        <w:tabs>
          <w:tab w:val="clear" w:pos="360"/>
        </w:tabs>
        <w:ind w:left="0"/>
        <w:rPr>
          <w:sz w:val="22"/>
        </w:rPr>
      </w:pPr>
      <w:r w:rsidRPr="00BE5C98">
        <w:rPr>
          <w:sz w:val="22"/>
        </w:rPr>
        <w:t xml:space="preserve">En las localidades que carezcan de PDU, el Planeamiento Integral deberá proponer la zonificación y vías. Sólo en estos casos deberá aprobarse, mediante Ordenanza Municipal, por la Municipalidad Provincial correspondiente siguiendo el procedimiento establecido para la aprobación de los PDU, en concordancia con las funciones y competencias establecidas en la Ley Nº 27972, Ley Orgánica de Municipalidades. </w:t>
      </w:r>
    </w:p>
    <w:p w:rsidR="00BE5C98" w:rsidRPr="00BE5C98" w:rsidRDefault="00BE5C98" w:rsidP="00BE5C98">
      <w:pPr>
        <w:pStyle w:val="Sangra2detindependiente"/>
        <w:rPr>
          <w:sz w:val="22"/>
        </w:rPr>
      </w:pPr>
    </w:p>
    <w:p w:rsidR="00BE5C98" w:rsidRPr="00BE5C98" w:rsidRDefault="00BE5C98" w:rsidP="00BE5C98">
      <w:pPr>
        <w:pStyle w:val="Sangra2detindependiente"/>
        <w:rPr>
          <w:sz w:val="22"/>
        </w:rPr>
      </w:pPr>
    </w:p>
    <w:p w:rsidR="00BE5C98" w:rsidRPr="00BE5C98" w:rsidRDefault="00BE5C98" w:rsidP="00BE5C98">
      <w:pPr>
        <w:pStyle w:val="Sangra2detindependiente"/>
        <w:tabs>
          <w:tab w:val="clear" w:pos="360"/>
        </w:tabs>
        <w:ind w:left="0"/>
        <w:rPr>
          <w:sz w:val="22"/>
        </w:rPr>
      </w:pPr>
      <w:r w:rsidRPr="00BE5C98">
        <w:rPr>
          <w:sz w:val="22"/>
        </w:rPr>
        <w:t>- LEY 29792 - LEY ORGANICA DE MUNICIPALIDADES</w:t>
      </w:r>
    </w:p>
    <w:p w:rsidR="00BE5C98" w:rsidRPr="00BE5C98" w:rsidRDefault="00BE5C98" w:rsidP="00BE5C98">
      <w:pPr>
        <w:pStyle w:val="Sangra2detindependiente"/>
        <w:rPr>
          <w:sz w:val="22"/>
        </w:rPr>
      </w:pPr>
    </w:p>
    <w:p w:rsidR="00BE5C98" w:rsidRPr="00BE5C98" w:rsidRDefault="00BE5C98" w:rsidP="00BE5C98">
      <w:pPr>
        <w:pStyle w:val="Sangra2detindependiente"/>
        <w:tabs>
          <w:tab w:val="clear" w:pos="360"/>
        </w:tabs>
        <w:ind w:left="0"/>
        <w:rPr>
          <w:sz w:val="22"/>
        </w:rPr>
      </w:pPr>
      <w:r w:rsidRPr="00BE5C98">
        <w:rPr>
          <w:sz w:val="22"/>
        </w:rPr>
        <w:t xml:space="preserve">En el artículo 191, señala que los Gobiernos Locales promueven el desarrollo de la economía local y la prestación de servicios es su responsabilidad, en armonía con las políticas y planes nacionales y regionales de desarrollo. </w:t>
      </w:r>
    </w:p>
    <w:p w:rsidR="00BE5C98" w:rsidRPr="00BE5C98" w:rsidRDefault="00BE5C98" w:rsidP="00BE5C98">
      <w:pPr>
        <w:pStyle w:val="Sangra2detindependiente"/>
        <w:tabs>
          <w:tab w:val="clear" w:pos="360"/>
        </w:tabs>
        <w:ind w:left="0"/>
        <w:rPr>
          <w:sz w:val="22"/>
        </w:rPr>
      </w:pPr>
      <w:r w:rsidRPr="00BE5C98">
        <w:rPr>
          <w:sz w:val="22"/>
        </w:rPr>
        <w:t xml:space="preserve"> Artículo 192: Las municipalidades tienen competencia para: Planificar el Desarrollo Urbano y Rural de sus circunscripciones y Ejecutar los Planes y programas correspondientes. Su competencia abarca, aprobar el plan de desarrollo concertado con la sociedad civil, fomentar la competitividad, las inversiones y el financiamiento para la ejecución de proyectos y obras de infraestructura local, desarrollar y regular actividades y/o servicios en materia de educación, salud, vivienda, saneamiento, medio ambiente, transporte, circulación y tránsito, turismo, cultura, recreación, y especialmente en el desarrollo y fortalecimiento de capacidades de la población en general, con énfasis en los grupos vulnerables y de riesgo. </w:t>
      </w:r>
    </w:p>
    <w:p w:rsidR="00BE5C98" w:rsidRPr="00BE5C98" w:rsidRDefault="00BE5C98" w:rsidP="00BE5C98">
      <w:pPr>
        <w:pStyle w:val="Sangra2detindependiente"/>
        <w:rPr>
          <w:sz w:val="22"/>
        </w:rPr>
      </w:pPr>
    </w:p>
    <w:p w:rsidR="00BE5C98" w:rsidRPr="00BE5C98" w:rsidRDefault="00BE5C98" w:rsidP="00BE5C98">
      <w:pPr>
        <w:pStyle w:val="Sangra2detindependiente"/>
        <w:tabs>
          <w:tab w:val="clear" w:pos="360"/>
        </w:tabs>
        <w:ind w:left="0"/>
        <w:rPr>
          <w:sz w:val="22"/>
        </w:rPr>
      </w:pPr>
      <w:r w:rsidRPr="00BE5C98">
        <w:rPr>
          <w:sz w:val="22"/>
        </w:rPr>
        <w:t>- REGLAMENTO NACIONAL DE EDIFICACIONES: NORMA GH-020 CAPÍTULO V</w:t>
      </w:r>
    </w:p>
    <w:p w:rsidR="00BE5C98" w:rsidRPr="00BE5C98" w:rsidRDefault="00BE5C98" w:rsidP="00BE5C98">
      <w:pPr>
        <w:pStyle w:val="Sangra2detindependiente"/>
        <w:tabs>
          <w:tab w:val="clear" w:pos="360"/>
        </w:tabs>
        <w:ind w:left="0"/>
        <w:rPr>
          <w:sz w:val="22"/>
        </w:rPr>
      </w:pPr>
      <w:r w:rsidRPr="00BE5C98">
        <w:rPr>
          <w:sz w:val="22"/>
        </w:rPr>
        <w:t xml:space="preserve">(RNE) de fecha 23/05/08 en el capítulo V artículos del 37 al 42 “En los casos que el área por habilitar se desarrolle en etapas o esta no colinde con zonas habilitadas o se plantee la parcelación del predio rústico, se deberá elaborar un “Planeamiento Integral” que comprenda la red de vías y los usos de la totalidad del predio así como una propuesta de integración a la trama urbana más cercana, en función de los lineamientos establecidos en el Plan de Desarrollo Urbano correspondiente.  </w:t>
      </w:r>
    </w:p>
    <w:p w:rsidR="00BE5C98" w:rsidRPr="00BE5C98" w:rsidRDefault="00BE5C98" w:rsidP="00BE5C98">
      <w:pPr>
        <w:pStyle w:val="Sangra2detindependiente"/>
        <w:rPr>
          <w:sz w:val="22"/>
        </w:rPr>
      </w:pPr>
    </w:p>
    <w:p w:rsidR="00BE5C98" w:rsidRPr="00BE5C98" w:rsidRDefault="00BE5C98" w:rsidP="00BE5C98">
      <w:pPr>
        <w:pStyle w:val="Sangra2detindependiente"/>
        <w:tabs>
          <w:tab w:val="clear" w:pos="360"/>
        </w:tabs>
        <w:ind w:left="0"/>
        <w:rPr>
          <w:sz w:val="22"/>
        </w:rPr>
      </w:pPr>
      <w:r w:rsidRPr="00BE5C98">
        <w:rPr>
          <w:sz w:val="22"/>
        </w:rPr>
        <w:t>- LEY 29090</w:t>
      </w:r>
    </w:p>
    <w:p w:rsidR="00BE5C98" w:rsidRPr="00BE5C98" w:rsidRDefault="00BE5C98" w:rsidP="00BE5C98">
      <w:pPr>
        <w:pStyle w:val="Sangra2detindependiente"/>
        <w:tabs>
          <w:tab w:val="clear" w:pos="360"/>
        </w:tabs>
        <w:ind w:left="0"/>
        <w:rPr>
          <w:sz w:val="22"/>
        </w:rPr>
      </w:pPr>
      <w:r w:rsidRPr="00BE5C98">
        <w:rPr>
          <w:sz w:val="22"/>
        </w:rPr>
        <w:t>El Título III, Capítulo I de la Ley 29090 que dispone el procedimiento administrativo de otorgamiento de Licencias de Habilitación Urbana y edificación señala en su artículo 6, que ninguna obra de habilitación urbana o edificación podrá construirse sin sujetarse a las normas urbanísticas establecidas en los planes de desarrollo urbano y/o acondicionamiento territorial y/o planeamiento integral. Las normas urbanísticas constituyen documentos de interés público, cuya finalidad es la promoción del desarrollo ordenado de las ciudades.</w:t>
      </w:r>
    </w:p>
    <w:p w:rsidR="00BE5C98" w:rsidRPr="00BE5C98" w:rsidRDefault="00BE5C98" w:rsidP="00BE5C98">
      <w:pPr>
        <w:pStyle w:val="Sangra2detindependiente"/>
        <w:rPr>
          <w:sz w:val="22"/>
        </w:rPr>
      </w:pPr>
    </w:p>
    <w:p w:rsidR="00BE5C98" w:rsidRPr="00BE5C98" w:rsidRDefault="00BE5C98" w:rsidP="00BE5C98">
      <w:pPr>
        <w:pStyle w:val="Sangra2detindependiente"/>
        <w:tabs>
          <w:tab w:val="clear" w:pos="360"/>
        </w:tabs>
        <w:ind w:left="0"/>
        <w:rPr>
          <w:sz w:val="22"/>
        </w:rPr>
      </w:pPr>
      <w:r w:rsidRPr="00BE5C98">
        <w:rPr>
          <w:sz w:val="22"/>
        </w:rPr>
        <w:t>D.S. N° 011-2017-VIVIENDA</w:t>
      </w:r>
    </w:p>
    <w:p w:rsidR="00BE5C98" w:rsidRPr="00BE5C98" w:rsidRDefault="00BE5C98" w:rsidP="00BE5C98">
      <w:pPr>
        <w:pStyle w:val="Sangra2detindependiente"/>
        <w:tabs>
          <w:tab w:val="clear" w:pos="360"/>
        </w:tabs>
        <w:ind w:left="0"/>
        <w:rPr>
          <w:sz w:val="22"/>
        </w:rPr>
      </w:pPr>
      <w:r w:rsidRPr="00BE5C98">
        <w:rPr>
          <w:sz w:val="22"/>
        </w:rPr>
        <w:t xml:space="preserve">El </w:t>
      </w:r>
      <w:r w:rsidRPr="00BE5C98">
        <w:rPr>
          <w:sz w:val="22"/>
        </w:rPr>
        <w:t>artículo</w:t>
      </w:r>
      <w:r w:rsidRPr="00BE5C98">
        <w:rPr>
          <w:sz w:val="22"/>
        </w:rPr>
        <w:t xml:space="preserve"> 31.2 del Reglamentos de Licencia de Habilitación Urbana y Licencia de Edificación establece que el Planeamiento Integral puede ser aprobado por la </w:t>
      </w:r>
      <w:r w:rsidRPr="00BE5C98">
        <w:rPr>
          <w:sz w:val="22"/>
        </w:rPr>
        <w:lastRenderedPageBreak/>
        <w:t>Municipalidad correspondiente en los siguientes supuestos: a) El área por habilitar se desarrolla por etapas b) El área por habilitar no colinda con zonas habilitadas. c) Se realice la independización o la parcelación del predio rustico.</w:t>
      </w:r>
    </w:p>
    <w:p w:rsidR="00BE5C98" w:rsidRPr="00BE5C98" w:rsidRDefault="00BE5C98" w:rsidP="00BE5C98">
      <w:pPr>
        <w:pStyle w:val="Sangra2detindependiente"/>
        <w:tabs>
          <w:tab w:val="clear" w:pos="360"/>
        </w:tabs>
        <w:ind w:left="0"/>
        <w:rPr>
          <w:sz w:val="22"/>
        </w:rPr>
      </w:pPr>
    </w:p>
    <w:p w:rsidR="00BE5C98" w:rsidRPr="00BE5C98" w:rsidRDefault="00BE5C98" w:rsidP="00BE5C98">
      <w:pPr>
        <w:pStyle w:val="Sangra2detindependiente"/>
        <w:tabs>
          <w:tab w:val="clear" w:pos="360"/>
        </w:tabs>
        <w:ind w:left="0"/>
        <w:rPr>
          <w:sz w:val="22"/>
        </w:rPr>
      </w:pPr>
      <w:r w:rsidRPr="00BE5C98">
        <w:rPr>
          <w:sz w:val="22"/>
        </w:rPr>
        <w:t>- ORDENANZA 006-95-MPC</w:t>
      </w:r>
    </w:p>
    <w:p w:rsidR="00BE5C98" w:rsidRPr="00BE5C98" w:rsidRDefault="00BE5C98" w:rsidP="00BE5C98">
      <w:pPr>
        <w:pStyle w:val="Sangra2detindependiente"/>
        <w:tabs>
          <w:tab w:val="clear" w:pos="360"/>
        </w:tabs>
        <w:ind w:left="0"/>
        <w:rPr>
          <w:sz w:val="22"/>
        </w:rPr>
      </w:pPr>
      <w:r w:rsidRPr="00BE5C98">
        <w:rPr>
          <w:sz w:val="22"/>
        </w:rPr>
        <w:t>Mediante acuerdo de consejo N° 043-95-MPC, adoptado en sesión ordinaria del 06 de Junio de 1995, se aprobó el Plan de Acondicionamiento Territorial de la Provincia de Cañete, el Reglamento de Usos de Suelo y el Plano de  Zonificación de Usos de Suelo al 2010, expidiéndose en la misma fecha la Ordenanza N° 06-95-MPC, la misma que constituye el instrumento legal que objetiviza la aplicación formal de las propuestas técnicas-normativa dispuesta en el citado acuerdo, publicándose esta última en el diario Oficial El Peruano con fecha 27-07-1995</w:t>
      </w:r>
    </w:p>
    <w:p w:rsidR="00BE5C98" w:rsidRPr="00BE5C98" w:rsidRDefault="00BE5C98" w:rsidP="00BE5C98">
      <w:pPr>
        <w:pStyle w:val="Sangra2detindependiente"/>
        <w:tabs>
          <w:tab w:val="clear" w:pos="360"/>
        </w:tabs>
        <w:ind w:left="0"/>
        <w:rPr>
          <w:sz w:val="22"/>
        </w:rPr>
      </w:pPr>
      <w:r w:rsidRPr="00BE5C98">
        <w:rPr>
          <w:sz w:val="22"/>
        </w:rPr>
        <w:t>- ORDENANZA N° 025-2002-MPC: 10-05-200</w:t>
      </w:r>
    </w:p>
    <w:p w:rsidR="00BE5C98" w:rsidRPr="00BE5C98" w:rsidRDefault="00BE5C98" w:rsidP="00BE5C98">
      <w:pPr>
        <w:pStyle w:val="Sangra2detindependiente"/>
        <w:tabs>
          <w:tab w:val="clear" w:pos="360"/>
        </w:tabs>
        <w:ind w:left="0"/>
        <w:rPr>
          <w:sz w:val="22"/>
        </w:rPr>
      </w:pPr>
      <w:r w:rsidRPr="00BE5C98">
        <w:rPr>
          <w:sz w:val="22"/>
        </w:rPr>
        <w:t>El Consejo Provincial de Cañete aprobó el Plan Estratégico de Desarrollo de la Provincia de Cañete.</w:t>
      </w:r>
    </w:p>
    <w:p w:rsidR="00BE5C98" w:rsidRPr="00BE5C98" w:rsidRDefault="00BE5C98" w:rsidP="00BE5C98">
      <w:pPr>
        <w:pStyle w:val="Sangra2detindependiente"/>
        <w:tabs>
          <w:tab w:val="clear" w:pos="360"/>
        </w:tabs>
        <w:ind w:left="0"/>
        <w:rPr>
          <w:sz w:val="22"/>
        </w:rPr>
      </w:pPr>
      <w:r w:rsidRPr="00BE5C98">
        <w:rPr>
          <w:sz w:val="22"/>
        </w:rPr>
        <w:t>- ORDENANZA N° 026-2002-MPC: Se aprueban disposiciones complementarias a la Ordenanza N° 006-95-MPC y se declara como Tratamiento Estratégico la zona denominada Pampas de Concón.</w:t>
      </w:r>
    </w:p>
    <w:p w:rsidR="00BE5C98" w:rsidRPr="00BE5C98" w:rsidRDefault="00BE5C98" w:rsidP="00BE5C98">
      <w:pPr>
        <w:pStyle w:val="Sangra2detindependiente"/>
        <w:tabs>
          <w:tab w:val="clear" w:pos="360"/>
        </w:tabs>
        <w:ind w:left="0"/>
        <w:rPr>
          <w:sz w:val="22"/>
        </w:rPr>
      </w:pPr>
      <w:r w:rsidRPr="00BE5C98">
        <w:rPr>
          <w:sz w:val="22"/>
        </w:rPr>
        <w:t>- ORDENANZA MUNICIPAL N° 06-95-MPC, de fecha 08 de Junio de 1995</w:t>
      </w:r>
    </w:p>
    <w:p w:rsidR="00BE5C98" w:rsidRDefault="00BE5C98" w:rsidP="007B4DE0">
      <w:pPr>
        <w:pStyle w:val="Sangra2detindependiente"/>
        <w:ind w:left="0"/>
        <w:rPr>
          <w:sz w:val="22"/>
        </w:rPr>
      </w:pPr>
    </w:p>
    <w:p w:rsidR="00150FC9" w:rsidRDefault="00150FC9" w:rsidP="00F84D4B">
      <w:pPr>
        <w:pStyle w:val="Sangra2detindependiente"/>
        <w:rPr>
          <w:sz w:val="22"/>
        </w:rPr>
      </w:pPr>
    </w:p>
    <w:p w:rsidR="00A338DE" w:rsidRDefault="00A338DE" w:rsidP="00E62D64">
      <w:pPr>
        <w:pStyle w:val="Sangra2detindependiente"/>
        <w:ind w:left="0"/>
        <w:rPr>
          <w:b/>
          <w:sz w:val="22"/>
        </w:rPr>
      </w:pPr>
    </w:p>
    <w:p w:rsidR="00150FC9" w:rsidRDefault="001C20FE" w:rsidP="00E62D64">
      <w:pPr>
        <w:pStyle w:val="Sangra2detindependiente"/>
        <w:ind w:left="0"/>
        <w:rPr>
          <w:b/>
          <w:sz w:val="22"/>
        </w:rPr>
      </w:pPr>
      <w:r>
        <w:rPr>
          <w:b/>
          <w:sz w:val="22"/>
        </w:rPr>
        <w:t>I</w:t>
      </w:r>
      <w:r w:rsidR="00BE5C98">
        <w:rPr>
          <w:b/>
          <w:sz w:val="22"/>
        </w:rPr>
        <w:t>V</w:t>
      </w:r>
      <w:r>
        <w:rPr>
          <w:b/>
          <w:sz w:val="22"/>
        </w:rPr>
        <w:t xml:space="preserve">.- </w:t>
      </w:r>
      <w:r w:rsidR="00150FC9" w:rsidRPr="00150FC9">
        <w:rPr>
          <w:b/>
          <w:sz w:val="22"/>
        </w:rPr>
        <w:t>CARACTERISTICAS DEL PREDIO</w:t>
      </w:r>
    </w:p>
    <w:p w:rsidR="00E1648F" w:rsidRDefault="00E1648F" w:rsidP="00E62D64">
      <w:pPr>
        <w:pStyle w:val="Sangra2detindependiente"/>
        <w:ind w:left="0"/>
        <w:rPr>
          <w:b/>
          <w:sz w:val="22"/>
        </w:rPr>
      </w:pPr>
    </w:p>
    <w:p w:rsidR="00A338DE" w:rsidRDefault="00034F52" w:rsidP="00034F52">
      <w:pPr>
        <w:tabs>
          <w:tab w:val="left" w:pos="567"/>
        </w:tabs>
        <w:ind w:left="284"/>
        <w:jc w:val="both"/>
        <w:rPr>
          <w:rFonts w:cs="Arial"/>
          <w:bCs/>
          <w:sz w:val="22"/>
        </w:rPr>
      </w:pPr>
      <w:r w:rsidRPr="00034F52">
        <w:rPr>
          <w:rFonts w:cs="Arial"/>
          <w:bCs/>
          <w:sz w:val="22"/>
        </w:rPr>
        <w:t>El predio rustico denominado lote 3 se encuentra dentro del sector predio Pampas y Hoyada de Calanguillo a la altura del Km. 67 de la Panamericana Sur en el distrito de Chilca</w:t>
      </w:r>
      <w:r w:rsidR="00A338DE">
        <w:rPr>
          <w:rFonts w:cs="Arial"/>
          <w:bCs/>
          <w:sz w:val="22"/>
        </w:rPr>
        <w:t>.</w:t>
      </w:r>
    </w:p>
    <w:p w:rsidR="00034F52" w:rsidRPr="00034F52" w:rsidRDefault="00034F52" w:rsidP="00034F52">
      <w:pPr>
        <w:tabs>
          <w:tab w:val="left" w:pos="567"/>
        </w:tabs>
        <w:ind w:left="284"/>
        <w:jc w:val="both"/>
        <w:rPr>
          <w:rFonts w:cs="Arial"/>
          <w:bCs/>
          <w:sz w:val="22"/>
        </w:rPr>
      </w:pPr>
    </w:p>
    <w:p w:rsidR="00034F52" w:rsidRPr="00034F52" w:rsidRDefault="00034F52" w:rsidP="00034F52">
      <w:pPr>
        <w:tabs>
          <w:tab w:val="left" w:pos="567"/>
        </w:tabs>
        <w:ind w:left="284"/>
        <w:jc w:val="both"/>
        <w:rPr>
          <w:rFonts w:cs="Arial"/>
          <w:bCs/>
          <w:sz w:val="22"/>
        </w:rPr>
      </w:pPr>
      <w:r w:rsidRPr="00034F52">
        <w:rPr>
          <w:rFonts w:cs="Arial"/>
          <w:bCs/>
          <w:sz w:val="22"/>
        </w:rPr>
        <w:t>Área del predio:</w:t>
      </w:r>
    </w:p>
    <w:p w:rsidR="00034F52" w:rsidRPr="00034F52" w:rsidRDefault="00034F52" w:rsidP="00034F52">
      <w:pPr>
        <w:tabs>
          <w:tab w:val="left" w:pos="567"/>
        </w:tabs>
        <w:ind w:left="284"/>
        <w:jc w:val="both"/>
        <w:rPr>
          <w:rFonts w:cs="Arial"/>
          <w:bCs/>
          <w:sz w:val="22"/>
        </w:rPr>
      </w:pPr>
      <w:r w:rsidRPr="00034F52">
        <w:rPr>
          <w:rFonts w:cs="Arial"/>
          <w:bCs/>
          <w:sz w:val="22"/>
        </w:rPr>
        <w:t>El predio tiene un área total de 114,988.00 m2 (Ciento catorce mil novecientos ochenta y ocho y 00/100 metros cuadrados) y se encuentra inscrito en la Partida Electrónica Nº P03155323 del Registro de la Propiedad de Lima.</w:t>
      </w:r>
    </w:p>
    <w:p w:rsidR="00034F52" w:rsidRPr="00034F52" w:rsidRDefault="00034F52" w:rsidP="00034F52">
      <w:pPr>
        <w:tabs>
          <w:tab w:val="left" w:pos="567"/>
        </w:tabs>
        <w:ind w:left="284"/>
        <w:jc w:val="both"/>
        <w:rPr>
          <w:rFonts w:cs="Arial"/>
          <w:bCs/>
          <w:sz w:val="22"/>
        </w:rPr>
      </w:pPr>
    </w:p>
    <w:p w:rsidR="00034F52" w:rsidRPr="00034F52" w:rsidRDefault="00034F52" w:rsidP="00034F52">
      <w:pPr>
        <w:tabs>
          <w:tab w:val="left" w:pos="567"/>
        </w:tabs>
        <w:ind w:left="284"/>
        <w:jc w:val="both"/>
        <w:rPr>
          <w:rFonts w:cs="Arial"/>
          <w:bCs/>
          <w:sz w:val="22"/>
        </w:rPr>
      </w:pPr>
      <w:r w:rsidRPr="00034F52">
        <w:rPr>
          <w:rFonts w:cs="Arial"/>
          <w:bCs/>
          <w:sz w:val="22"/>
        </w:rPr>
        <w:t xml:space="preserve">Linderos y Medidas Perimétricas: </w:t>
      </w:r>
    </w:p>
    <w:p w:rsidR="00034F52" w:rsidRPr="00034F52" w:rsidRDefault="00034F52" w:rsidP="00034F52">
      <w:pPr>
        <w:tabs>
          <w:tab w:val="left" w:pos="567"/>
        </w:tabs>
        <w:ind w:left="284"/>
        <w:jc w:val="both"/>
        <w:rPr>
          <w:rFonts w:cs="Arial"/>
          <w:bCs/>
          <w:sz w:val="22"/>
        </w:rPr>
      </w:pPr>
      <w:r w:rsidRPr="00034F52">
        <w:rPr>
          <w:rFonts w:cs="Arial"/>
          <w:bCs/>
          <w:sz w:val="22"/>
        </w:rPr>
        <w:t xml:space="preserve">  Los linderos y medidas perimétricas del terreno son las siguientes:</w:t>
      </w:r>
    </w:p>
    <w:p w:rsidR="00034F52" w:rsidRPr="00034F52" w:rsidRDefault="00034F52" w:rsidP="00E22F0E">
      <w:pPr>
        <w:tabs>
          <w:tab w:val="left" w:pos="567"/>
        </w:tabs>
        <w:spacing w:line="276" w:lineRule="auto"/>
        <w:ind w:left="284"/>
        <w:jc w:val="both"/>
        <w:rPr>
          <w:rFonts w:cs="Arial"/>
          <w:bCs/>
          <w:sz w:val="22"/>
        </w:rPr>
      </w:pPr>
    </w:p>
    <w:p w:rsidR="00034F52" w:rsidRPr="00034F52" w:rsidRDefault="00034F52" w:rsidP="00E22F0E">
      <w:pPr>
        <w:tabs>
          <w:tab w:val="left" w:pos="567"/>
        </w:tabs>
        <w:spacing w:line="276" w:lineRule="auto"/>
        <w:ind w:left="284"/>
        <w:jc w:val="both"/>
        <w:rPr>
          <w:rFonts w:cs="Arial"/>
          <w:bCs/>
          <w:sz w:val="22"/>
        </w:rPr>
      </w:pPr>
      <w:r w:rsidRPr="00034F52">
        <w:rPr>
          <w:rFonts w:cs="Arial"/>
          <w:bCs/>
          <w:sz w:val="22"/>
        </w:rPr>
        <w:t>AREA: 114,988.00 m2 = 11.4988 HECTAREAS</w:t>
      </w:r>
    </w:p>
    <w:p w:rsidR="00034F52" w:rsidRPr="00034F52" w:rsidRDefault="00034F52" w:rsidP="00E22F0E">
      <w:pPr>
        <w:tabs>
          <w:tab w:val="left" w:pos="567"/>
        </w:tabs>
        <w:spacing w:line="276" w:lineRule="auto"/>
        <w:ind w:left="284"/>
        <w:jc w:val="both"/>
        <w:rPr>
          <w:rFonts w:cs="Arial"/>
          <w:bCs/>
          <w:sz w:val="22"/>
        </w:rPr>
      </w:pPr>
    </w:p>
    <w:p w:rsidR="00034F52" w:rsidRPr="00034F52" w:rsidRDefault="00034F52" w:rsidP="00E22F0E">
      <w:pPr>
        <w:tabs>
          <w:tab w:val="left" w:pos="567"/>
        </w:tabs>
        <w:spacing w:line="276" w:lineRule="auto"/>
        <w:ind w:left="284"/>
        <w:jc w:val="both"/>
        <w:rPr>
          <w:rFonts w:cs="Arial"/>
          <w:bCs/>
          <w:sz w:val="22"/>
        </w:rPr>
      </w:pPr>
      <w:r w:rsidRPr="00034F52">
        <w:rPr>
          <w:rFonts w:cs="Arial"/>
          <w:bCs/>
          <w:sz w:val="22"/>
        </w:rPr>
        <w:t>PERIMETRO: 1,843.10 m.</w:t>
      </w:r>
    </w:p>
    <w:p w:rsidR="00034F52" w:rsidRPr="00034F52" w:rsidRDefault="00034F52" w:rsidP="00E22F0E">
      <w:pPr>
        <w:tabs>
          <w:tab w:val="left" w:pos="567"/>
        </w:tabs>
        <w:spacing w:line="276" w:lineRule="auto"/>
        <w:ind w:left="284"/>
        <w:jc w:val="both"/>
        <w:rPr>
          <w:rFonts w:cs="Arial"/>
          <w:bCs/>
          <w:sz w:val="22"/>
        </w:rPr>
      </w:pPr>
    </w:p>
    <w:p w:rsidR="00034F52" w:rsidRDefault="00034F52" w:rsidP="00E22F0E">
      <w:pPr>
        <w:tabs>
          <w:tab w:val="left" w:pos="567"/>
        </w:tabs>
        <w:spacing w:line="276" w:lineRule="auto"/>
        <w:ind w:left="284"/>
        <w:jc w:val="both"/>
        <w:rPr>
          <w:rFonts w:cs="Arial"/>
          <w:bCs/>
          <w:sz w:val="22"/>
        </w:rPr>
      </w:pPr>
      <w:r w:rsidRPr="00034F52">
        <w:rPr>
          <w:rFonts w:cs="Arial"/>
          <w:bCs/>
          <w:sz w:val="22"/>
        </w:rPr>
        <w:t>COLINDANCIAS Y LINDEROS</w:t>
      </w:r>
    </w:p>
    <w:p w:rsidR="00E22F0E" w:rsidRPr="00034F52" w:rsidRDefault="00E22F0E" w:rsidP="00E22F0E">
      <w:pPr>
        <w:tabs>
          <w:tab w:val="left" w:pos="567"/>
        </w:tabs>
        <w:spacing w:line="276" w:lineRule="auto"/>
        <w:ind w:left="284"/>
        <w:jc w:val="both"/>
        <w:rPr>
          <w:rFonts w:cs="Arial"/>
          <w:bCs/>
          <w:sz w:val="22"/>
        </w:rPr>
      </w:pPr>
    </w:p>
    <w:p w:rsidR="00034F52" w:rsidRPr="00034F52" w:rsidRDefault="00034F52" w:rsidP="00E22F0E">
      <w:pPr>
        <w:tabs>
          <w:tab w:val="left" w:pos="567"/>
        </w:tabs>
        <w:spacing w:line="276" w:lineRule="auto"/>
        <w:ind w:left="284"/>
        <w:jc w:val="both"/>
        <w:rPr>
          <w:rFonts w:cs="Arial"/>
          <w:bCs/>
          <w:sz w:val="22"/>
        </w:rPr>
      </w:pPr>
      <w:r w:rsidRPr="00034F52">
        <w:rPr>
          <w:rFonts w:cs="Arial"/>
          <w:bCs/>
          <w:sz w:val="22"/>
        </w:rPr>
        <w:t>FRENTE:    Colinda con camino carrozable en una línea recta de 199.73 m.</w:t>
      </w:r>
    </w:p>
    <w:p w:rsidR="00034F52" w:rsidRPr="00034F52" w:rsidRDefault="00034F52" w:rsidP="00E22F0E">
      <w:pPr>
        <w:tabs>
          <w:tab w:val="left" w:pos="567"/>
        </w:tabs>
        <w:spacing w:line="276" w:lineRule="auto"/>
        <w:ind w:left="284"/>
        <w:jc w:val="both"/>
        <w:rPr>
          <w:rFonts w:cs="Arial"/>
          <w:bCs/>
          <w:sz w:val="22"/>
        </w:rPr>
      </w:pPr>
      <w:r w:rsidRPr="00034F52">
        <w:rPr>
          <w:rFonts w:cs="Arial"/>
          <w:bCs/>
          <w:sz w:val="22"/>
        </w:rPr>
        <w:t>DERECHA:   Colinda con el lote 1 y 2 de propiedad de Irradia S.R.L. y Akso Nobel Perú S.R.L. en una línea quebrada de 3 tramos: 400.09 m., 94.80 m Y 259.25 m.</w:t>
      </w:r>
      <w:proofErr w:type="gramStart"/>
      <w:r w:rsidRPr="00034F52">
        <w:rPr>
          <w:rFonts w:cs="Arial"/>
          <w:bCs/>
          <w:sz w:val="22"/>
        </w:rPr>
        <w:t>,.</w:t>
      </w:r>
      <w:proofErr w:type="gramEnd"/>
      <w:r w:rsidRPr="00034F52">
        <w:rPr>
          <w:rFonts w:cs="Arial"/>
          <w:bCs/>
          <w:sz w:val="22"/>
        </w:rPr>
        <w:t xml:space="preserve"> </w:t>
      </w:r>
    </w:p>
    <w:p w:rsidR="00034F52" w:rsidRPr="00034F52" w:rsidRDefault="00034F52" w:rsidP="00E22F0E">
      <w:pPr>
        <w:tabs>
          <w:tab w:val="left" w:pos="567"/>
        </w:tabs>
        <w:spacing w:line="276" w:lineRule="auto"/>
        <w:ind w:left="284"/>
        <w:jc w:val="both"/>
        <w:rPr>
          <w:rFonts w:cs="Arial"/>
          <w:bCs/>
          <w:sz w:val="22"/>
        </w:rPr>
      </w:pPr>
      <w:r w:rsidRPr="00034F52">
        <w:rPr>
          <w:rFonts w:cs="Arial"/>
          <w:bCs/>
          <w:sz w:val="22"/>
        </w:rPr>
        <w:t>IZQUIERDA: Colinda con camino carrozable y propiedad de terceros en una línea quebrada de 6 tramos: 214.49 m., 24.74 m., 139.31 m., 36.89 m., 65.39 m. y 233.38 m.</w:t>
      </w:r>
    </w:p>
    <w:p w:rsidR="00034F52" w:rsidRPr="00034F52" w:rsidRDefault="00034F52" w:rsidP="00E22F0E">
      <w:pPr>
        <w:tabs>
          <w:tab w:val="left" w:pos="567"/>
        </w:tabs>
        <w:spacing w:line="276" w:lineRule="auto"/>
        <w:ind w:left="284"/>
        <w:jc w:val="both"/>
        <w:rPr>
          <w:rFonts w:cs="Arial"/>
          <w:bCs/>
          <w:sz w:val="22"/>
        </w:rPr>
      </w:pPr>
      <w:r w:rsidRPr="00034F52">
        <w:rPr>
          <w:rFonts w:cs="Arial"/>
          <w:bCs/>
          <w:sz w:val="22"/>
        </w:rPr>
        <w:t>FONDO: Colinda con propiedad de terceros en línea recta de 175.03 m.</w:t>
      </w:r>
    </w:p>
    <w:p w:rsidR="00034F52" w:rsidRDefault="00034F52" w:rsidP="00E22F0E">
      <w:pPr>
        <w:tabs>
          <w:tab w:val="left" w:pos="567"/>
        </w:tabs>
        <w:spacing w:line="360" w:lineRule="auto"/>
        <w:ind w:left="284"/>
        <w:jc w:val="both"/>
        <w:rPr>
          <w:rFonts w:cs="Arial"/>
          <w:bCs/>
          <w:sz w:val="22"/>
        </w:rPr>
      </w:pPr>
    </w:p>
    <w:p w:rsidR="00BE5C98" w:rsidRDefault="00BE5C98" w:rsidP="00BE5C98">
      <w:pPr>
        <w:pStyle w:val="Sangra2detindependiente"/>
        <w:ind w:left="0"/>
        <w:rPr>
          <w:b/>
          <w:sz w:val="22"/>
        </w:rPr>
      </w:pPr>
      <w:r>
        <w:rPr>
          <w:b/>
          <w:sz w:val="22"/>
        </w:rPr>
        <w:lastRenderedPageBreak/>
        <w:t xml:space="preserve">         </w:t>
      </w:r>
    </w:p>
    <w:p w:rsidR="00BE5C98" w:rsidRDefault="00BE5C98" w:rsidP="00BE5C98">
      <w:pPr>
        <w:pStyle w:val="Sangra2detindependiente"/>
        <w:ind w:left="0"/>
        <w:rPr>
          <w:b/>
          <w:sz w:val="22"/>
        </w:rPr>
      </w:pPr>
    </w:p>
    <w:p w:rsidR="00BE5C98" w:rsidRDefault="00BE5C98" w:rsidP="00BE5C98">
      <w:pPr>
        <w:pStyle w:val="Sangra2detindependiente"/>
        <w:ind w:left="0"/>
        <w:rPr>
          <w:b/>
          <w:sz w:val="22"/>
        </w:rPr>
      </w:pPr>
    </w:p>
    <w:p w:rsidR="00BE5C98" w:rsidRDefault="00BE5C98" w:rsidP="00BE5C98">
      <w:pPr>
        <w:pStyle w:val="Sangra2detindependiente"/>
        <w:ind w:left="0"/>
        <w:rPr>
          <w:b/>
          <w:sz w:val="22"/>
        </w:rPr>
      </w:pPr>
    </w:p>
    <w:p w:rsidR="00BE5C98" w:rsidRDefault="00BE5C98" w:rsidP="00BE5C98">
      <w:pPr>
        <w:pStyle w:val="Sangra2detindependiente"/>
        <w:ind w:left="0"/>
        <w:rPr>
          <w:b/>
          <w:sz w:val="22"/>
        </w:rPr>
      </w:pPr>
      <w:r>
        <w:rPr>
          <w:b/>
          <w:sz w:val="22"/>
        </w:rPr>
        <w:t>V</w:t>
      </w:r>
      <w:r w:rsidRPr="00150FC9">
        <w:rPr>
          <w:b/>
          <w:sz w:val="22"/>
        </w:rPr>
        <w:t xml:space="preserve">.- </w:t>
      </w:r>
      <w:r>
        <w:rPr>
          <w:b/>
          <w:sz w:val="22"/>
        </w:rPr>
        <w:t>JUSTIFICACION DE LA ASIGNACION DE ZONIFICACION I-4</w:t>
      </w:r>
    </w:p>
    <w:p w:rsidR="00BE5C98" w:rsidRDefault="00BE5C98" w:rsidP="00BE5C98">
      <w:pPr>
        <w:pStyle w:val="Sangra2detindependiente"/>
        <w:ind w:left="0"/>
        <w:rPr>
          <w:sz w:val="22"/>
        </w:rPr>
      </w:pPr>
    </w:p>
    <w:p w:rsidR="00BE5C98" w:rsidRDefault="00BE5C98" w:rsidP="00BE5C98">
      <w:pPr>
        <w:pStyle w:val="Sangra2detindependiente"/>
        <w:ind w:left="0"/>
        <w:rPr>
          <w:sz w:val="22"/>
        </w:rPr>
      </w:pPr>
      <w:r>
        <w:rPr>
          <w:sz w:val="22"/>
        </w:rPr>
        <w:t>El asentamiento de muchas industrias en la zona en estudio por los beneficios en cuanto a grandes terrenos a costos razonables, adecuada vialidad para acceso de insumos y despacho de productos terminados hacia los principales centros urbanos, que deben seguir los procesos de Habilitación urbana establecidos en la Ley, propicia la propuesta de dotar al sector de zonificación industrial I2, I3 e I4.</w:t>
      </w:r>
    </w:p>
    <w:p w:rsidR="00BE5C98" w:rsidRDefault="00BE5C98" w:rsidP="00BE5C98">
      <w:pPr>
        <w:pStyle w:val="Sangra2detindependiente"/>
        <w:ind w:left="0"/>
        <w:rPr>
          <w:sz w:val="22"/>
        </w:rPr>
      </w:pPr>
    </w:p>
    <w:p w:rsidR="00BE5C98" w:rsidRDefault="00BE5C98" w:rsidP="00BE5C98">
      <w:pPr>
        <w:tabs>
          <w:tab w:val="left" w:pos="360"/>
        </w:tabs>
        <w:jc w:val="both"/>
        <w:rPr>
          <w:rFonts w:cs="Arial"/>
          <w:bCs/>
          <w:sz w:val="22"/>
        </w:rPr>
      </w:pPr>
      <w:r>
        <w:rPr>
          <w:rFonts w:cs="Arial"/>
          <w:bCs/>
          <w:sz w:val="22"/>
        </w:rPr>
        <w:t>En el caso de Chilca la necesidad de orientar el desarrollo y crecimiento de la zona urbana, en el marco de un manejo adecuado y desde una perspectiva de sostenibilidad que busca el equilibrio del ecosistema con el crecimiento de las áreas urbanas, protegiendo y resguardando sus valores y potencialidades, propició la dación de la Ordenanza 006-95-MPC, que aprueba el Reglamento de Usos de Suelos de la provincia de Cañete y su modificatoria aprobada por Ordenanza 026-2002, en las cuales se establece que al predio materia de estudio le corresponde la zonificación E.N.P. (Eriazo no programado), que no es propiamente un tipo de zonificación urbana, sino que determina un sector pendiente de definición respecto a los usos del suelo más adecuados para su desarrollo.</w:t>
      </w:r>
    </w:p>
    <w:p w:rsidR="00BE5C98" w:rsidRDefault="00BE5C98" w:rsidP="00BE5C98">
      <w:pPr>
        <w:tabs>
          <w:tab w:val="left" w:pos="360"/>
        </w:tabs>
        <w:jc w:val="both"/>
        <w:rPr>
          <w:rFonts w:cs="Arial"/>
          <w:bCs/>
          <w:sz w:val="22"/>
        </w:rPr>
      </w:pPr>
    </w:p>
    <w:p w:rsidR="00BE5C98" w:rsidRDefault="00BE5C98" w:rsidP="00BE5C98">
      <w:pPr>
        <w:tabs>
          <w:tab w:val="left" w:pos="360"/>
        </w:tabs>
        <w:jc w:val="both"/>
        <w:rPr>
          <w:rFonts w:cs="Arial"/>
          <w:bCs/>
          <w:sz w:val="22"/>
        </w:rPr>
      </w:pPr>
      <w:r>
        <w:rPr>
          <w:rFonts w:cs="Arial"/>
          <w:bCs/>
          <w:sz w:val="22"/>
        </w:rPr>
        <w:t xml:space="preserve">En este contexto la propietaria pretende implementar una industria de producción, procesamiento y conservación de productos cárnicos en el lote 3-A y una extensión de servicios de conservación y congelamiento para otros productos afines en el lote 3-B. </w:t>
      </w:r>
    </w:p>
    <w:p w:rsidR="00BE5C98" w:rsidRDefault="00BE5C98" w:rsidP="00BE5C98">
      <w:pPr>
        <w:tabs>
          <w:tab w:val="left" w:pos="360"/>
        </w:tabs>
        <w:jc w:val="both"/>
        <w:rPr>
          <w:rFonts w:cs="Arial"/>
          <w:bCs/>
          <w:sz w:val="22"/>
        </w:rPr>
      </w:pPr>
    </w:p>
    <w:p w:rsidR="00BE5C98" w:rsidRDefault="00BE5C98" w:rsidP="00BE5C98">
      <w:pPr>
        <w:pStyle w:val="Sangra2detindependiente"/>
        <w:ind w:left="0"/>
        <w:rPr>
          <w:sz w:val="22"/>
        </w:rPr>
      </w:pPr>
      <w:r>
        <w:rPr>
          <w:sz w:val="22"/>
        </w:rPr>
        <w:t xml:space="preserve">La justificación para la asignación de zonificación industrial I4, en el caso del lote 3-A radica en que se adecua a una industria cuyo nivel de servicio está determinado por requerir de gran área, gran dimensión económica y orientado a infraestructura regional y grandes mercados, además de que está clasificada en el </w:t>
      </w:r>
      <w:r w:rsidRPr="00710D89">
        <w:rPr>
          <w:sz w:val="22"/>
        </w:rPr>
        <w:t>Índice de Usos del Código Internacional</w:t>
      </w:r>
      <w:r>
        <w:rPr>
          <w:sz w:val="22"/>
        </w:rPr>
        <w:t xml:space="preserve"> Industrial Uniforme (CIIU) como Sección C División 1120 de la gran división de Explotación de minas y canteras.</w:t>
      </w:r>
    </w:p>
    <w:p w:rsidR="00E22F0E" w:rsidRDefault="00E22F0E" w:rsidP="00E22F0E">
      <w:pPr>
        <w:tabs>
          <w:tab w:val="left" w:pos="567"/>
        </w:tabs>
        <w:spacing w:line="360" w:lineRule="auto"/>
        <w:ind w:left="284"/>
        <w:jc w:val="both"/>
        <w:rPr>
          <w:rFonts w:cs="Arial"/>
          <w:bCs/>
          <w:sz w:val="22"/>
        </w:rPr>
      </w:pPr>
    </w:p>
    <w:p w:rsidR="00E22F0E" w:rsidRDefault="00BE5C98" w:rsidP="00E22F0E">
      <w:pPr>
        <w:tabs>
          <w:tab w:val="left" w:pos="567"/>
        </w:tabs>
        <w:spacing w:line="360" w:lineRule="auto"/>
        <w:ind w:left="284"/>
        <w:jc w:val="both"/>
        <w:rPr>
          <w:rFonts w:cs="Arial"/>
          <w:bCs/>
          <w:sz w:val="22"/>
        </w:rPr>
      </w:pPr>
      <w:r>
        <w:rPr>
          <w:rFonts w:cs="Arial"/>
          <w:bCs/>
          <w:noProof/>
          <w:sz w:val="22"/>
          <w:lang w:eastAsia="es-PE"/>
        </w:rPr>
        <w:drawing>
          <wp:inline distT="0" distB="0" distL="0" distR="0" wp14:anchorId="40A6B4D1">
            <wp:extent cx="4627245" cy="2451100"/>
            <wp:effectExtent l="0" t="0" r="1905" b="635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27245" cy="2451100"/>
                    </a:xfrm>
                    <a:prstGeom prst="rect">
                      <a:avLst/>
                    </a:prstGeom>
                    <a:noFill/>
                  </pic:spPr>
                </pic:pic>
              </a:graphicData>
            </a:graphic>
          </wp:inline>
        </w:drawing>
      </w:r>
    </w:p>
    <w:p w:rsidR="00BE5C98" w:rsidRDefault="00BE5C98" w:rsidP="00E22F0E">
      <w:pPr>
        <w:tabs>
          <w:tab w:val="left" w:pos="567"/>
        </w:tabs>
        <w:spacing w:line="360" w:lineRule="auto"/>
        <w:ind w:left="284"/>
        <w:jc w:val="both"/>
        <w:rPr>
          <w:rFonts w:cs="Arial"/>
          <w:bCs/>
          <w:sz w:val="22"/>
        </w:rPr>
      </w:pPr>
    </w:p>
    <w:p w:rsidR="00BE5C98" w:rsidRDefault="00BE5C98" w:rsidP="00E22F0E">
      <w:pPr>
        <w:tabs>
          <w:tab w:val="left" w:pos="567"/>
        </w:tabs>
        <w:spacing w:line="360" w:lineRule="auto"/>
        <w:ind w:left="284"/>
        <w:jc w:val="both"/>
        <w:rPr>
          <w:rFonts w:cs="Arial"/>
          <w:bCs/>
          <w:sz w:val="22"/>
        </w:rPr>
      </w:pPr>
    </w:p>
    <w:p w:rsidR="00BE5C98" w:rsidRPr="00BE5C98" w:rsidRDefault="00BE5C98" w:rsidP="00BE5C98">
      <w:pPr>
        <w:tabs>
          <w:tab w:val="left" w:pos="567"/>
        </w:tabs>
        <w:spacing w:line="360" w:lineRule="auto"/>
        <w:ind w:left="284"/>
        <w:jc w:val="both"/>
        <w:rPr>
          <w:rFonts w:cs="Arial"/>
          <w:b/>
          <w:bCs/>
          <w:sz w:val="22"/>
        </w:rPr>
      </w:pPr>
      <w:r w:rsidRPr="00BE5C98">
        <w:rPr>
          <w:rFonts w:cs="Arial"/>
          <w:b/>
          <w:bCs/>
          <w:sz w:val="22"/>
        </w:rPr>
        <w:t>V</w:t>
      </w:r>
      <w:r w:rsidRPr="00BE5C98">
        <w:rPr>
          <w:rFonts w:cs="Arial"/>
          <w:b/>
          <w:bCs/>
          <w:sz w:val="22"/>
        </w:rPr>
        <w:t>I.</w:t>
      </w:r>
      <w:r w:rsidRPr="00BE5C98">
        <w:rPr>
          <w:rFonts w:cs="Arial"/>
          <w:b/>
          <w:bCs/>
          <w:sz w:val="22"/>
        </w:rPr>
        <w:t xml:space="preserve">         PROPUESTA TECNICA</w:t>
      </w:r>
    </w:p>
    <w:p w:rsidR="00BE5C98" w:rsidRPr="00BE5C98" w:rsidRDefault="00BE5C98" w:rsidP="00BE5C98">
      <w:pPr>
        <w:tabs>
          <w:tab w:val="left" w:pos="567"/>
        </w:tabs>
        <w:spacing w:line="360" w:lineRule="auto"/>
        <w:ind w:left="284"/>
        <w:jc w:val="both"/>
        <w:rPr>
          <w:rFonts w:cs="Arial"/>
          <w:bCs/>
          <w:sz w:val="22"/>
        </w:rPr>
      </w:pPr>
    </w:p>
    <w:p w:rsidR="00BE5C98" w:rsidRPr="00BE5C98" w:rsidRDefault="00BE5C98" w:rsidP="00BA710A">
      <w:pPr>
        <w:tabs>
          <w:tab w:val="left" w:pos="567"/>
        </w:tabs>
        <w:ind w:left="284"/>
        <w:jc w:val="both"/>
        <w:rPr>
          <w:rFonts w:cs="Arial"/>
          <w:bCs/>
          <w:sz w:val="22"/>
        </w:rPr>
      </w:pPr>
      <w:r w:rsidRPr="00BE5C98">
        <w:rPr>
          <w:rFonts w:cs="Arial"/>
          <w:bCs/>
          <w:sz w:val="22"/>
        </w:rPr>
        <w:t>Con el fin de planificar el desarrollo urbano, la propuesta plantea dotarlo de infraestructura vial necesaria, tomando como base las Vías arteriales y colectoras existentes, así como las vías locales secundarias existentes en el casco urbano de Chilca y de las parcelaciones colindantes, las que no serán alteradas en su trazo, siendo regularizadas y mejoradas otorgándoles continuidad y empalmes en su trazo, para dar como resultado un sistema vial jerarquizado e integrado al área urbana distrital  y provincial.</w:t>
      </w:r>
    </w:p>
    <w:p w:rsidR="00BE5C98" w:rsidRPr="00BE5C98" w:rsidRDefault="00BE5C98" w:rsidP="00BA710A">
      <w:pPr>
        <w:tabs>
          <w:tab w:val="left" w:pos="567"/>
        </w:tabs>
        <w:ind w:left="284"/>
        <w:jc w:val="both"/>
        <w:rPr>
          <w:rFonts w:cs="Arial"/>
          <w:bCs/>
          <w:sz w:val="22"/>
        </w:rPr>
      </w:pPr>
    </w:p>
    <w:p w:rsidR="00BE5C98" w:rsidRPr="00BE5C98" w:rsidRDefault="00BE5C98" w:rsidP="00BA710A">
      <w:pPr>
        <w:tabs>
          <w:tab w:val="left" w:pos="567"/>
        </w:tabs>
        <w:ind w:left="284"/>
        <w:jc w:val="both"/>
        <w:rPr>
          <w:rFonts w:cs="Arial"/>
          <w:bCs/>
          <w:sz w:val="22"/>
        </w:rPr>
      </w:pPr>
      <w:r w:rsidRPr="00BE5C98">
        <w:rPr>
          <w:rFonts w:cs="Arial"/>
          <w:bCs/>
          <w:sz w:val="22"/>
        </w:rPr>
        <w:t>El estudio define un esquema vial principal, que corresponde al sector comprendido entre la Carretera Panamericana Sur, la línea proyectada de gas natural al oeste, la Av. “D” al sur y la Avenida “C” al norte.</w:t>
      </w:r>
    </w:p>
    <w:p w:rsidR="00BE5C98" w:rsidRPr="00BE5C98" w:rsidRDefault="00BE5C98" w:rsidP="00BA710A">
      <w:pPr>
        <w:tabs>
          <w:tab w:val="left" w:pos="567"/>
        </w:tabs>
        <w:ind w:left="284"/>
        <w:jc w:val="both"/>
        <w:rPr>
          <w:rFonts w:cs="Arial"/>
          <w:bCs/>
          <w:sz w:val="22"/>
        </w:rPr>
      </w:pPr>
      <w:r w:rsidRPr="00BE5C98">
        <w:rPr>
          <w:rFonts w:cs="Arial"/>
          <w:bCs/>
          <w:sz w:val="22"/>
        </w:rPr>
        <w:t xml:space="preserve"> </w:t>
      </w:r>
    </w:p>
    <w:p w:rsidR="00BE5C98" w:rsidRPr="00BE5C98" w:rsidRDefault="00BE5C98" w:rsidP="00BA710A">
      <w:pPr>
        <w:tabs>
          <w:tab w:val="left" w:pos="567"/>
        </w:tabs>
        <w:ind w:left="284"/>
        <w:jc w:val="both"/>
        <w:rPr>
          <w:rFonts w:cs="Arial"/>
          <w:bCs/>
          <w:sz w:val="22"/>
        </w:rPr>
      </w:pPr>
      <w:r w:rsidRPr="00BE5C98">
        <w:rPr>
          <w:rFonts w:cs="Arial"/>
          <w:bCs/>
          <w:sz w:val="22"/>
        </w:rPr>
        <w:t>DISEÑO DE VIAS</w:t>
      </w:r>
    </w:p>
    <w:p w:rsidR="00BE5C98" w:rsidRPr="00BE5C98" w:rsidRDefault="00BE5C98" w:rsidP="00BA710A">
      <w:pPr>
        <w:tabs>
          <w:tab w:val="left" w:pos="567"/>
        </w:tabs>
        <w:ind w:left="284"/>
        <w:jc w:val="both"/>
        <w:rPr>
          <w:rFonts w:cs="Arial"/>
          <w:bCs/>
          <w:sz w:val="22"/>
        </w:rPr>
      </w:pPr>
    </w:p>
    <w:p w:rsidR="00BE5C98" w:rsidRPr="00BE5C98" w:rsidRDefault="00BE5C98" w:rsidP="00BA710A">
      <w:pPr>
        <w:tabs>
          <w:tab w:val="left" w:pos="567"/>
        </w:tabs>
        <w:ind w:left="284"/>
        <w:jc w:val="both"/>
        <w:rPr>
          <w:rFonts w:cs="Arial"/>
          <w:bCs/>
          <w:sz w:val="22"/>
        </w:rPr>
      </w:pPr>
      <w:r w:rsidRPr="00BE5C98">
        <w:rPr>
          <w:rFonts w:cs="Arial"/>
          <w:bCs/>
          <w:sz w:val="22"/>
        </w:rPr>
        <w:t>En el diseño de la propuesta se consideran 2 vías colectoras y 6 vías locales principales cuyas características se adecuan a lo establecido en el capítulo II de la Norma GH.020 del Reglamento nacional de Edificaciones.</w:t>
      </w:r>
    </w:p>
    <w:p w:rsidR="00BE5C98" w:rsidRPr="00BE5C98" w:rsidRDefault="00BE5C98" w:rsidP="00BA710A">
      <w:pPr>
        <w:tabs>
          <w:tab w:val="left" w:pos="567"/>
        </w:tabs>
        <w:ind w:left="284"/>
        <w:jc w:val="both"/>
        <w:rPr>
          <w:rFonts w:cs="Arial"/>
          <w:bCs/>
          <w:sz w:val="22"/>
        </w:rPr>
      </w:pPr>
    </w:p>
    <w:p w:rsidR="00BE5C98" w:rsidRPr="00BE5C98" w:rsidRDefault="00BE5C98" w:rsidP="00BA710A">
      <w:pPr>
        <w:tabs>
          <w:tab w:val="left" w:pos="567"/>
        </w:tabs>
        <w:ind w:left="284"/>
        <w:jc w:val="both"/>
        <w:rPr>
          <w:rFonts w:cs="Arial"/>
          <w:bCs/>
          <w:sz w:val="22"/>
        </w:rPr>
      </w:pPr>
      <w:r w:rsidRPr="00BE5C98">
        <w:rPr>
          <w:rFonts w:cs="Arial"/>
          <w:bCs/>
          <w:sz w:val="22"/>
        </w:rPr>
        <w:t xml:space="preserve">Dos de las vías propuestas como colectoras las constituyen la Carretera Panamericana Sur, cuya sección ya está aprobada y la colectora denominada Avenida “N”, paralela a aquella, con una sección de 38.70 m., que cruza la Sección 3 y albergara la línea de transmisión 220 </w:t>
      </w:r>
      <w:proofErr w:type="spellStart"/>
      <w:r w:rsidRPr="00BE5C98">
        <w:rPr>
          <w:rFonts w:cs="Arial"/>
          <w:bCs/>
          <w:sz w:val="22"/>
        </w:rPr>
        <w:t>kV</w:t>
      </w:r>
      <w:proofErr w:type="spellEnd"/>
      <w:r w:rsidRPr="00BE5C98">
        <w:rPr>
          <w:rFonts w:cs="Arial"/>
          <w:bCs/>
          <w:sz w:val="22"/>
        </w:rPr>
        <w:t xml:space="preserve"> Chilca - Cantera L2090.existente de la concesionaria Red de energía eléctrica del Perú S.A., cuyo eje de trazo coincide con el de la vía propuesta.</w:t>
      </w:r>
    </w:p>
    <w:p w:rsidR="00BE5C98" w:rsidRPr="00BE5C98" w:rsidRDefault="00BE5C98" w:rsidP="00BA710A">
      <w:pPr>
        <w:tabs>
          <w:tab w:val="left" w:pos="567"/>
        </w:tabs>
        <w:ind w:left="284"/>
        <w:jc w:val="both"/>
        <w:rPr>
          <w:rFonts w:cs="Arial"/>
          <w:bCs/>
          <w:sz w:val="22"/>
        </w:rPr>
      </w:pPr>
    </w:p>
    <w:p w:rsidR="00BE5C98" w:rsidRPr="00BE5C98" w:rsidRDefault="00BE5C98" w:rsidP="00BA710A">
      <w:pPr>
        <w:tabs>
          <w:tab w:val="left" w:pos="567"/>
        </w:tabs>
        <w:ind w:left="284"/>
        <w:jc w:val="both"/>
        <w:rPr>
          <w:rFonts w:cs="Arial"/>
          <w:bCs/>
          <w:sz w:val="22"/>
        </w:rPr>
      </w:pPr>
      <w:r w:rsidRPr="00BE5C98">
        <w:rPr>
          <w:rFonts w:cs="Arial"/>
          <w:bCs/>
          <w:sz w:val="22"/>
        </w:rPr>
        <w:t>Las vías locales primarias paralelas a la Carretera Panamericana Sur denominadas Avenida proyección avenida San Hilarión y Avenida “F” tienen secciones de 27.20 m. y 23.90 m. respectivamente.</w:t>
      </w:r>
    </w:p>
    <w:p w:rsidR="00BE5C98" w:rsidRPr="00BE5C98" w:rsidRDefault="00BE5C98" w:rsidP="00BA710A">
      <w:pPr>
        <w:tabs>
          <w:tab w:val="left" w:pos="567"/>
        </w:tabs>
        <w:ind w:left="284"/>
        <w:jc w:val="both"/>
        <w:rPr>
          <w:rFonts w:cs="Arial"/>
          <w:bCs/>
          <w:sz w:val="22"/>
        </w:rPr>
      </w:pPr>
    </w:p>
    <w:p w:rsidR="00BE5C98" w:rsidRPr="00BE5C98" w:rsidRDefault="00BE5C98" w:rsidP="00BA710A">
      <w:pPr>
        <w:tabs>
          <w:tab w:val="left" w:pos="567"/>
        </w:tabs>
        <w:ind w:left="284"/>
        <w:jc w:val="both"/>
        <w:rPr>
          <w:rFonts w:cs="Arial"/>
          <w:bCs/>
          <w:sz w:val="22"/>
        </w:rPr>
      </w:pPr>
      <w:r w:rsidRPr="00BE5C98">
        <w:rPr>
          <w:rFonts w:cs="Arial"/>
          <w:bCs/>
          <w:sz w:val="22"/>
        </w:rPr>
        <w:t xml:space="preserve">Cabe precisar que esta propuesta incluye una red de ciclovias a fin de dar facilidades para el uso de transporte ligero, contribuyendo con la disminución de contaminación en la zona industrial propuesta. </w:t>
      </w:r>
    </w:p>
    <w:p w:rsidR="00BE5C98" w:rsidRPr="00BE5C98" w:rsidRDefault="00BE5C98" w:rsidP="00BA710A">
      <w:pPr>
        <w:tabs>
          <w:tab w:val="left" w:pos="567"/>
        </w:tabs>
        <w:ind w:left="284"/>
        <w:jc w:val="both"/>
        <w:rPr>
          <w:rFonts w:cs="Arial"/>
          <w:bCs/>
          <w:sz w:val="22"/>
        </w:rPr>
      </w:pPr>
    </w:p>
    <w:p w:rsidR="00BE5C98" w:rsidRPr="00BE5C98" w:rsidRDefault="00BE5C98" w:rsidP="00BA710A">
      <w:pPr>
        <w:tabs>
          <w:tab w:val="left" w:pos="567"/>
        </w:tabs>
        <w:ind w:left="284"/>
        <w:jc w:val="both"/>
        <w:rPr>
          <w:rFonts w:cs="Arial"/>
          <w:bCs/>
          <w:sz w:val="22"/>
        </w:rPr>
      </w:pPr>
      <w:r w:rsidRPr="00BE5C98">
        <w:rPr>
          <w:rFonts w:cs="Arial"/>
          <w:bCs/>
          <w:sz w:val="22"/>
        </w:rPr>
        <w:t>ZONIFICACION</w:t>
      </w:r>
    </w:p>
    <w:p w:rsidR="00BE5C98" w:rsidRPr="00BE5C98" w:rsidRDefault="00BE5C98" w:rsidP="00BA710A">
      <w:pPr>
        <w:tabs>
          <w:tab w:val="left" w:pos="567"/>
        </w:tabs>
        <w:ind w:left="284"/>
        <w:jc w:val="both"/>
        <w:rPr>
          <w:rFonts w:cs="Arial"/>
          <w:bCs/>
          <w:sz w:val="22"/>
        </w:rPr>
      </w:pPr>
      <w:r w:rsidRPr="00BE5C98">
        <w:rPr>
          <w:rFonts w:cs="Arial"/>
          <w:bCs/>
          <w:sz w:val="22"/>
        </w:rPr>
        <w:t xml:space="preserve"> La zonificación propuesta es de usos industriales desde el I2 al I4 consolidando los usos que ya se vienen instalando en el sector, permitiendo un crecimiento urbano ordenado.</w:t>
      </w:r>
    </w:p>
    <w:p w:rsidR="00BE5C98" w:rsidRPr="00BE5C98" w:rsidRDefault="00BE5C98" w:rsidP="00BA710A">
      <w:pPr>
        <w:tabs>
          <w:tab w:val="left" w:pos="567"/>
        </w:tabs>
        <w:ind w:left="284"/>
        <w:jc w:val="both"/>
        <w:rPr>
          <w:rFonts w:cs="Arial"/>
          <w:bCs/>
          <w:sz w:val="22"/>
        </w:rPr>
      </w:pPr>
    </w:p>
    <w:p w:rsidR="00BE5C98" w:rsidRPr="00BE5C98" w:rsidRDefault="00BE5C98" w:rsidP="00BA710A">
      <w:pPr>
        <w:tabs>
          <w:tab w:val="left" w:pos="567"/>
        </w:tabs>
        <w:ind w:left="284"/>
        <w:jc w:val="both"/>
        <w:rPr>
          <w:rFonts w:cs="Arial"/>
          <w:bCs/>
          <w:sz w:val="22"/>
        </w:rPr>
      </w:pPr>
    </w:p>
    <w:p w:rsidR="00BE5C98" w:rsidRPr="00BE5C98" w:rsidRDefault="00BE5C98" w:rsidP="00BA710A">
      <w:pPr>
        <w:tabs>
          <w:tab w:val="left" w:pos="567"/>
        </w:tabs>
        <w:ind w:left="284"/>
        <w:jc w:val="both"/>
        <w:rPr>
          <w:rFonts w:cs="Arial"/>
          <w:bCs/>
          <w:sz w:val="22"/>
        </w:rPr>
      </w:pPr>
      <w:r w:rsidRPr="00BE5C98">
        <w:rPr>
          <w:rFonts w:cs="Arial"/>
          <w:bCs/>
          <w:sz w:val="22"/>
        </w:rPr>
        <w:t>APORTES REGLAMENTARIOS</w:t>
      </w:r>
    </w:p>
    <w:p w:rsidR="00BE5C98" w:rsidRPr="00BE5C98" w:rsidRDefault="00BE5C98" w:rsidP="00BA710A">
      <w:pPr>
        <w:tabs>
          <w:tab w:val="left" w:pos="567"/>
        </w:tabs>
        <w:ind w:left="284"/>
        <w:jc w:val="both"/>
        <w:rPr>
          <w:rFonts w:cs="Arial"/>
          <w:bCs/>
          <w:sz w:val="22"/>
        </w:rPr>
      </w:pPr>
    </w:p>
    <w:p w:rsidR="00BE5C98" w:rsidRPr="00BE5C98" w:rsidRDefault="00BE5C98" w:rsidP="00BA710A">
      <w:pPr>
        <w:tabs>
          <w:tab w:val="left" w:pos="567"/>
        </w:tabs>
        <w:ind w:left="284"/>
        <w:jc w:val="both"/>
        <w:rPr>
          <w:rFonts w:cs="Arial"/>
          <w:bCs/>
          <w:sz w:val="22"/>
        </w:rPr>
      </w:pPr>
      <w:r w:rsidRPr="00BE5C98">
        <w:rPr>
          <w:rFonts w:cs="Arial"/>
          <w:bCs/>
          <w:sz w:val="22"/>
        </w:rPr>
        <w:t>De conformidad con lo que establece el artículo 5° de la Norma TH.030 del Reglamento Nacional de Edificaciones las habilitaciones urbanas de tipo industrial para gran industria deberá ceder los aportes reglamentarios según el cuadro siguiente, cuyos aportes en el caso del lote 3 serán los siguientes:</w:t>
      </w:r>
    </w:p>
    <w:p w:rsidR="00BE5C98" w:rsidRPr="00BE5C98" w:rsidRDefault="00BE5C98" w:rsidP="00BA710A">
      <w:pPr>
        <w:tabs>
          <w:tab w:val="left" w:pos="567"/>
        </w:tabs>
        <w:ind w:left="284"/>
        <w:jc w:val="both"/>
        <w:rPr>
          <w:rFonts w:cs="Arial"/>
          <w:bCs/>
          <w:sz w:val="22"/>
        </w:rPr>
      </w:pPr>
    </w:p>
    <w:p w:rsidR="00BE5C98" w:rsidRDefault="00BE5C98" w:rsidP="00BA710A">
      <w:pPr>
        <w:tabs>
          <w:tab w:val="left" w:pos="567"/>
        </w:tabs>
        <w:ind w:left="284"/>
        <w:jc w:val="both"/>
        <w:rPr>
          <w:rFonts w:cs="Arial"/>
          <w:bCs/>
          <w:sz w:val="22"/>
        </w:rPr>
      </w:pPr>
    </w:p>
    <w:p w:rsidR="00BE5C98" w:rsidRDefault="00BE5C98" w:rsidP="00E22F0E">
      <w:pPr>
        <w:tabs>
          <w:tab w:val="left" w:pos="567"/>
        </w:tabs>
        <w:spacing w:line="360" w:lineRule="auto"/>
        <w:ind w:left="284"/>
        <w:jc w:val="both"/>
        <w:rPr>
          <w:rFonts w:cs="Arial"/>
          <w:bCs/>
          <w:sz w:val="22"/>
        </w:rPr>
      </w:pPr>
      <w:r>
        <w:rPr>
          <w:rFonts w:cs="Arial"/>
          <w:bCs/>
          <w:noProof/>
          <w:sz w:val="22"/>
          <w:lang w:eastAsia="es-PE"/>
        </w:rPr>
        <w:lastRenderedPageBreak/>
        <w:drawing>
          <wp:inline distT="0" distB="0" distL="0" distR="0" wp14:anchorId="48702667">
            <wp:extent cx="4779645" cy="1713230"/>
            <wp:effectExtent l="0" t="0" r="1905" b="127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79645" cy="1713230"/>
                    </a:xfrm>
                    <a:prstGeom prst="rect">
                      <a:avLst/>
                    </a:prstGeom>
                    <a:noFill/>
                  </pic:spPr>
                </pic:pic>
              </a:graphicData>
            </a:graphic>
          </wp:inline>
        </w:drawing>
      </w:r>
    </w:p>
    <w:p w:rsidR="00BA710A" w:rsidRDefault="00BA710A" w:rsidP="00E22F0E">
      <w:pPr>
        <w:tabs>
          <w:tab w:val="left" w:pos="567"/>
        </w:tabs>
        <w:spacing w:line="360" w:lineRule="auto"/>
        <w:ind w:left="284"/>
        <w:jc w:val="both"/>
        <w:rPr>
          <w:rFonts w:cs="Arial"/>
          <w:bCs/>
          <w:sz w:val="22"/>
        </w:rPr>
      </w:pPr>
    </w:p>
    <w:p w:rsidR="00BA710A" w:rsidRPr="00BA710A" w:rsidRDefault="00BA710A" w:rsidP="00BA710A">
      <w:pPr>
        <w:tabs>
          <w:tab w:val="left" w:pos="567"/>
        </w:tabs>
        <w:spacing w:line="360" w:lineRule="auto"/>
        <w:ind w:left="284"/>
        <w:jc w:val="both"/>
        <w:rPr>
          <w:rFonts w:cs="Arial"/>
          <w:bCs/>
          <w:sz w:val="22"/>
        </w:rPr>
      </w:pPr>
      <w:r w:rsidRPr="00BA710A">
        <w:rPr>
          <w:rFonts w:cs="Arial"/>
          <w:bCs/>
          <w:sz w:val="22"/>
        </w:rPr>
        <w:t>VIAS LOCALES EXISTENTES</w:t>
      </w:r>
    </w:p>
    <w:p w:rsidR="00BA710A" w:rsidRPr="00BA710A" w:rsidRDefault="00BA710A" w:rsidP="00BA710A">
      <w:pPr>
        <w:tabs>
          <w:tab w:val="left" w:pos="567"/>
        </w:tabs>
        <w:spacing w:line="360" w:lineRule="auto"/>
        <w:ind w:left="284"/>
        <w:jc w:val="both"/>
        <w:rPr>
          <w:rFonts w:cs="Arial"/>
          <w:bCs/>
          <w:sz w:val="22"/>
        </w:rPr>
      </w:pPr>
    </w:p>
    <w:p w:rsidR="00BA710A" w:rsidRDefault="00BA710A" w:rsidP="00BA710A">
      <w:pPr>
        <w:tabs>
          <w:tab w:val="left" w:pos="567"/>
        </w:tabs>
        <w:spacing w:line="360" w:lineRule="auto"/>
        <w:ind w:left="284"/>
        <w:jc w:val="both"/>
        <w:rPr>
          <w:rFonts w:cs="Arial"/>
          <w:bCs/>
          <w:sz w:val="22"/>
        </w:rPr>
      </w:pPr>
      <w:r w:rsidRPr="00BA710A">
        <w:rPr>
          <w:rFonts w:cs="Arial"/>
          <w:bCs/>
          <w:sz w:val="22"/>
        </w:rPr>
        <w:t>A.- PROLONGACION AV. SAN HILARION, calificada como Vía local cuenta actualmente con una sección de 25.00 m, sin embargo aún no se han efectuado obras y solo esta afirmada, sin embargo, y a efectos de acondicionarse a la norma, se propone una modificación dotándola de mayor sección de veredas acorde al módulo mínimo establecido para estos elementos en Habilitaciones de tipo industrial (Artículo 8° de la Norma GH.020).</w:t>
      </w:r>
    </w:p>
    <w:p w:rsidR="00BA710A" w:rsidRPr="00BA710A" w:rsidRDefault="00BA710A" w:rsidP="00BA710A">
      <w:pPr>
        <w:tabs>
          <w:tab w:val="left" w:pos="567"/>
        </w:tabs>
        <w:spacing w:line="360" w:lineRule="auto"/>
        <w:ind w:left="284"/>
        <w:jc w:val="both"/>
        <w:rPr>
          <w:rFonts w:cs="Arial"/>
          <w:bCs/>
          <w:sz w:val="22"/>
        </w:rPr>
      </w:pPr>
    </w:p>
    <w:p w:rsidR="00BA710A" w:rsidRDefault="00BA710A" w:rsidP="00E22F0E">
      <w:pPr>
        <w:tabs>
          <w:tab w:val="left" w:pos="567"/>
        </w:tabs>
        <w:spacing w:line="360" w:lineRule="auto"/>
        <w:ind w:left="284"/>
        <w:jc w:val="both"/>
        <w:rPr>
          <w:rFonts w:cs="Arial"/>
          <w:bCs/>
          <w:sz w:val="22"/>
        </w:rPr>
      </w:pPr>
      <w:r>
        <w:rPr>
          <w:rFonts w:cs="Arial"/>
          <w:bCs/>
          <w:noProof/>
          <w:sz w:val="22"/>
          <w:lang w:eastAsia="es-PE"/>
        </w:rPr>
        <w:drawing>
          <wp:inline distT="0" distB="0" distL="0" distR="0" wp14:anchorId="0904F501">
            <wp:extent cx="4895215" cy="2048510"/>
            <wp:effectExtent l="0" t="0" r="635" b="889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95215" cy="2048510"/>
                    </a:xfrm>
                    <a:prstGeom prst="rect">
                      <a:avLst/>
                    </a:prstGeom>
                    <a:noFill/>
                  </pic:spPr>
                </pic:pic>
              </a:graphicData>
            </a:graphic>
          </wp:inline>
        </w:drawing>
      </w:r>
    </w:p>
    <w:p w:rsidR="00BA710A" w:rsidRDefault="00BA710A" w:rsidP="00E22F0E">
      <w:pPr>
        <w:tabs>
          <w:tab w:val="left" w:pos="567"/>
        </w:tabs>
        <w:spacing w:line="360" w:lineRule="auto"/>
        <w:ind w:left="284"/>
        <w:jc w:val="both"/>
        <w:rPr>
          <w:rFonts w:cs="Arial"/>
          <w:bCs/>
          <w:sz w:val="22"/>
        </w:rPr>
      </w:pPr>
    </w:p>
    <w:p w:rsidR="00BA710A" w:rsidRDefault="00BA710A" w:rsidP="00E22F0E">
      <w:pPr>
        <w:tabs>
          <w:tab w:val="left" w:pos="567"/>
        </w:tabs>
        <w:spacing w:line="360" w:lineRule="auto"/>
        <w:ind w:left="284"/>
        <w:jc w:val="both"/>
        <w:rPr>
          <w:rFonts w:cs="Arial"/>
          <w:bCs/>
          <w:sz w:val="22"/>
        </w:rPr>
      </w:pPr>
    </w:p>
    <w:p w:rsidR="00BA710A" w:rsidRDefault="00BA710A" w:rsidP="00E22F0E">
      <w:pPr>
        <w:tabs>
          <w:tab w:val="left" w:pos="567"/>
        </w:tabs>
        <w:spacing w:line="360" w:lineRule="auto"/>
        <w:ind w:left="284"/>
        <w:jc w:val="both"/>
        <w:rPr>
          <w:rFonts w:cs="Arial"/>
          <w:bCs/>
          <w:sz w:val="22"/>
        </w:rPr>
      </w:pPr>
    </w:p>
    <w:p w:rsidR="00BA710A" w:rsidRPr="00BA710A" w:rsidRDefault="00BA710A" w:rsidP="00BA710A">
      <w:pPr>
        <w:tabs>
          <w:tab w:val="left" w:pos="567"/>
        </w:tabs>
        <w:spacing w:line="360" w:lineRule="auto"/>
        <w:ind w:left="284"/>
        <w:jc w:val="both"/>
        <w:rPr>
          <w:rFonts w:cs="Arial"/>
          <w:bCs/>
          <w:sz w:val="22"/>
        </w:rPr>
      </w:pPr>
    </w:p>
    <w:p w:rsidR="00BA710A" w:rsidRDefault="00BA710A" w:rsidP="00BA710A">
      <w:pPr>
        <w:tabs>
          <w:tab w:val="left" w:pos="567"/>
        </w:tabs>
        <w:spacing w:line="360" w:lineRule="auto"/>
        <w:ind w:left="284"/>
        <w:jc w:val="both"/>
        <w:rPr>
          <w:rFonts w:cs="Arial"/>
          <w:bCs/>
          <w:sz w:val="22"/>
        </w:rPr>
      </w:pPr>
      <w:r w:rsidRPr="00BA710A">
        <w:rPr>
          <w:rFonts w:cs="Arial"/>
          <w:bCs/>
          <w:sz w:val="22"/>
        </w:rPr>
        <w:t>B. AVENIDA “A”, calificada como local, cuenta actualmente con una sección de 20.40 metros y al igual que la anterior solo esta afirmada y por las mismas razones de acondicionamiento a norma se propone una nueva configuración en su sección.</w:t>
      </w:r>
    </w:p>
    <w:p w:rsidR="00BA710A" w:rsidRDefault="00BA710A" w:rsidP="00E22F0E">
      <w:pPr>
        <w:tabs>
          <w:tab w:val="left" w:pos="567"/>
        </w:tabs>
        <w:spacing w:line="360" w:lineRule="auto"/>
        <w:ind w:left="284"/>
        <w:jc w:val="both"/>
        <w:rPr>
          <w:rFonts w:cs="Arial"/>
          <w:bCs/>
          <w:sz w:val="22"/>
        </w:rPr>
      </w:pPr>
    </w:p>
    <w:p w:rsidR="00BA710A" w:rsidRDefault="00BA710A" w:rsidP="00E22F0E">
      <w:pPr>
        <w:tabs>
          <w:tab w:val="left" w:pos="567"/>
        </w:tabs>
        <w:spacing w:line="360" w:lineRule="auto"/>
        <w:ind w:left="284"/>
        <w:jc w:val="both"/>
        <w:rPr>
          <w:rFonts w:cs="Arial"/>
          <w:bCs/>
          <w:sz w:val="22"/>
        </w:rPr>
      </w:pPr>
      <w:r>
        <w:rPr>
          <w:rFonts w:cs="Arial"/>
          <w:bCs/>
          <w:noProof/>
          <w:sz w:val="22"/>
          <w:lang w:eastAsia="es-PE"/>
        </w:rPr>
        <w:lastRenderedPageBreak/>
        <w:drawing>
          <wp:inline distT="0" distB="0" distL="0" distR="0" wp14:anchorId="4CEE1A3C">
            <wp:extent cx="4383405" cy="2219325"/>
            <wp:effectExtent l="0" t="0" r="0" b="952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83405" cy="2219325"/>
                    </a:xfrm>
                    <a:prstGeom prst="rect">
                      <a:avLst/>
                    </a:prstGeom>
                    <a:noFill/>
                  </pic:spPr>
                </pic:pic>
              </a:graphicData>
            </a:graphic>
          </wp:inline>
        </w:drawing>
      </w:r>
    </w:p>
    <w:p w:rsidR="00BA710A" w:rsidRDefault="00BA710A" w:rsidP="00E22F0E">
      <w:pPr>
        <w:tabs>
          <w:tab w:val="left" w:pos="567"/>
        </w:tabs>
        <w:spacing w:line="360" w:lineRule="auto"/>
        <w:ind w:left="284"/>
        <w:jc w:val="both"/>
        <w:rPr>
          <w:rFonts w:cs="Arial"/>
          <w:bCs/>
          <w:sz w:val="22"/>
        </w:rPr>
      </w:pPr>
    </w:p>
    <w:p w:rsidR="00BA710A" w:rsidRPr="00BA710A" w:rsidRDefault="00976638" w:rsidP="00BA710A">
      <w:pPr>
        <w:tabs>
          <w:tab w:val="left" w:pos="567"/>
        </w:tabs>
        <w:spacing w:line="360" w:lineRule="auto"/>
        <w:ind w:left="284"/>
        <w:jc w:val="both"/>
        <w:rPr>
          <w:rFonts w:cs="Arial"/>
          <w:bCs/>
          <w:sz w:val="22"/>
        </w:rPr>
      </w:pPr>
      <w:r>
        <w:rPr>
          <w:rFonts w:cs="Arial"/>
          <w:bCs/>
          <w:sz w:val="22"/>
        </w:rPr>
        <w:t xml:space="preserve"> </w:t>
      </w:r>
      <w:bookmarkStart w:id="0" w:name="_GoBack"/>
      <w:bookmarkEnd w:id="0"/>
      <w:r w:rsidR="00BA710A" w:rsidRPr="00BA710A">
        <w:rPr>
          <w:rFonts w:cs="Arial"/>
          <w:bCs/>
          <w:sz w:val="22"/>
        </w:rPr>
        <w:t>VIAS LOCALES PROPUESTAS</w:t>
      </w:r>
    </w:p>
    <w:p w:rsidR="00BA710A" w:rsidRDefault="00BA710A" w:rsidP="00BA710A">
      <w:pPr>
        <w:tabs>
          <w:tab w:val="left" w:pos="567"/>
        </w:tabs>
        <w:spacing w:line="360" w:lineRule="auto"/>
        <w:ind w:left="284"/>
        <w:jc w:val="both"/>
        <w:rPr>
          <w:rFonts w:cs="Arial"/>
          <w:bCs/>
          <w:sz w:val="22"/>
        </w:rPr>
      </w:pPr>
    </w:p>
    <w:p w:rsidR="00BA710A" w:rsidRPr="00BA710A" w:rsidRDefault="00BA710A" w:rsidP="00BA710A">
      <w:pPr>
        <w:pStyle w:val="Prrafodelista"/>
        <w:numPr>
          <w:ilvl w:val="0"/>
          <w:numId w:val="10"/>
        </w:numPr>
        <w:tabs>
          <w:tab w:val="left" w:pos="567"/>
        </w:tabs>
        <w:spacing w:line="360" w:lineRule="auto"/>
        <w:jc w:val="both"/>
        <w:rPr>
          <w:rFonts w:cs="Arial"/>
          <w:bCs/>
          <w:sz w:val="22"/>
        </w:rPr>
      </w:pPr>
      <w:r>
        <w:rPr>
          <w:rFonts w:cs="Arial"/>
          <w:bCs/>
          <w:sz w:val="22"/>
        </w:rPr>
        <w:t xml:space="preserve"> A </w:t>
      </w:r>
      <w:r w:rsidRPr="00BA710A">
        <w:rPr>
          <w:rFonts w:cs="Arial"/>
          <w:bCs/>
          <w:sz w:val="22"/>
        </w:rPr>
        <w:t>fin de adecuarla a la Norma GH.020 para la Prolongación de la Av. San Hilarión se propone una nueva sección de 27.20 metros en la que se amplían las veredas hasta 2.40 y se incluyen bermas laterales de 3 metros y pistas de 2 carriles de 7.20 metros cada una.</w:t>
      </w:r>
    </w:p>
    <w:p w:rsidR="00BA710A" w:rsidRPr="00BA710A" w:rsidRDefault="00BA710A" w:rsidP="00BA710A">
      <w:pPr>
        <w:pStyle w:val="Prrafodelista"/>
        <w:tabs>
          <w:tab w:val="left" w:pos="567"/>
        </w:tabs>
        <w:spacing w:line="360" w:lineRule="auto"/>
        <w:ind w:left="644"/>
        <w:jc w:val="both"/>
        <w:rPr>
          <w:rFonts w:cs="Arial"/>
          <w:bCs/>
          <w:sz w:val="22"/>
        </w:rPr>
      </w:pPr>
    </w:p>
    <w:p w:rsidR="00BA710A" w:rsidRDefault="00BA710A" w:rsidP="00E22F0E">
      <w:pPr>
        <w:tabs>
          <w:tab w:val="left" w:pos="567"/>
        </w:tabs>
        <w:spacing w:line="360" w:lineRule="auto"/>
        <w:ind w:left="284"/>
        <w:jc w:val="both"/>
        <w:rPr>
          <w:rFonts w:cs="Arial"/>
          <w:bCs/>
          <w:sz w:val="22"/>
        </w:rPr>
      </w:pPr>
      <w:r>
        <w:rPr>
          <w:rFonts w:cs="Arial"/>
          <w:bCs/>
          <w:noProof/>
          <w:sz w:val="22"/>
          <w:lang w:eastAsia="es-PE"/>
        </w:rPr>
        <w:drawing>
          <wp:inline distT="0" distB="0" distL="0" distR="0" wp14:anchorId="376AE428">
            <wp:extent cx="4627245" cy="1542415"/>
            <wp:effectExtent l="0" t="0" r="1905" b="63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27245" cy="1542415"/>
                    </a:xfrm>
                    <a:prstGeom prst="rect">
                      <a:avLst/>
                    </a:prstGeom>
                    <a:noFill/>
                  </pic:spPr>
                </pic:pic>
              </a:graphicData>
            </a:graphic>
          </wp:inline>
        </w:drawing>
      </w:r>
    </w:p>
    <w:p w:rsidR="00BA710A" w:rsidRPr="00BA710A" w:rsidRDefault="00BA710A" w:rsidP="00BA710A">
      <w:pPr>
        <w:pStyle w:val="Prrafodelista"/>
        <w:numPr>
          <w:ilvl w:val="0"/>
          <w:numId w:val="10"/>
        </w:numPr>
        <w:tabs>
          <w:tab w:val="left" w:pos="567"/>
        </w:tabs>
        <w:spacing w:line="360" w:lineRule="auto"/>
        <w:jc w:val="both"/>
        <w:rPr>
          <w:rFonts w:cs="Arial"/>
          <w:bCs/>
          <w:sz w:val="22"/>
        </w:rPr>
      </w:pPr>
      <w:r w:rsidRPr="00BA710A">
        <w:rPr>
          <w:rFonts w:cs="Arial"/>
          <w:bCs/>
          <w:sz w:val="22"/>
        </w:rPr>
        <w:t>En el caso de la vía existente denominada para este Planeamiento integral Avenida “A” se plantea también adecuarla a norma y para ello se grafica en la sección LP-03 propuesta, la nueva sección que tendría esta vía, que incluye una ciclovía de 2.50 metros y un separador de 0.80 metros para protección de sus usuarios.</w:t>
      </w:r>
    </w:p>
    <w:p w:rsidR="00BA710A" w:rsidRDefault="00BA710A" w:rsidP="00BA710A">
      <w:pPr>
        <w:pStyle w:val="Prrafodelista"/>
        <w:tabs>
          <w:tab w:val="left" w:pos="567"/>
        </w:tabs>
        <w:spacing w:line="360" w:lineRule="auto"/>
        <w:ind w:left="644"/>
        <w:jc w:val="both"/>
        <w:rPr>
          <w:rFonts w:cs="Arial"/>
          <w:bCs/>
          <w:sz w:val="22"/>
        </w:rPr>
      </w:pPr>
    </w:p>
    <w:p w:rsidR="00BA710A" w:rsidRDefault="00BA710A" w:rsidP="00BA710A">
      <w:pPr>
        <w:pStyle w:val="Prrafodelista"/>
        <w:tabs>
          <w:tab w:val="left" w:pos="567"/>
        </w:tabs>
        <w:spacing w:line="360" w:lineRule="auto"/>
        <w:ind w:left="644"/>
        <w:jc w:val="both"/>
        <w:rPr>
          <w:rFonts w:cs="Arial"/>
          <w:bCs/>
          <w:sz w:val="22"/>
        </w:rPr>
      </w:pPr>
      <w:r>
        <w:rPr>
          <w:rFonts w:cs="Arial"/>
          <w:bCs/>
          <w:noProof/>
          <w:sz w:val="22"/>
          <w:lang w:eastAsia="es-PE"/>
        </w:rPr>
        <w:lastRenderedPageBreak/>
        <w:drawing>
          <wp:inline distT="0" distB="0" distL="0" distR="0" wp14:anchorId="3AC79AC1">
            <wp:extent cx="4450715" cy="1871345"/>
            <wp:effectExtent l="0" t="0" r="6985"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50715" cy="1871345"/>
                    </a:xfrm>
                    <a:prstGeom prst="rect">
                      <a:avLst/>
                    </a:prstGeom>
                    <a:noFill/>
                  </pic:spPr>
                </pic:pic>
              </a:graphicData>
            </a:graphic>
          </wp:inline>
        </w:drawing>
      </w:r>
    </w:p>
    <w:p w:rsidR="00BA710A" w:rsidRPr="00BA710A" w:rsidRDefault="00BA710A" w:rsidP="00BA710A">
      <w:pPr>
        <w:pStyle w:val="Prrafodelista"/>
        <w:tabs>
          <w:tab w:val="left" w:pos="567"/>
        </w:tabs>
        <w:spacing w:line="360" w:lineRule="auto"/>
        <w:ind w:left="644"/>
        <w:jc w:val="both"/>
        <w:rPr>
          <w:rFonts w:cs="Arial"/>
          <w:bCs/>
          <w:sz w:val="22"/>
        </w:rPr>
      </w:pPr>
      <w:r w:rsidRPr="00BA710A">
        <w:rPr>
          <w:rFonts w:cs="Arial"/>
          <w:bCs/>
          <w:sz w:val="22"/>
        </w:rPr>
        <w:t>Además se proponen las siguientes vías públicas no existentes pero que forman parte de la propuesta de Planeamiento Integral a fin de permitir la anexión del terreno y su entorno al área urbana del sector.</w:t>
      </w:r>
    </w:p>
    <w:p w:rsidR="00BA710A" w:rsidRPr="00BA710A" w:rsidRDefault="00BA710A" w:rsidP="00BA710A">
      <w:pPr>
        <w:pStyle w:val="Prrafodelista"/>
        <w:tabs>
          <w:tab w:val="left" w:pos="567"/>
        </w:tabs>
        <w:spacing w:line="360" w:lineRule="auto"/>
        <w:ind w:left="644"/>
        <w:jc w:val="both"/>
        <w:rPr>
          <w:rFonts w:cs="Arial"/>
          <w:bCs/>
          <w:sz w:val="22"/>
        </w:rPr>
      </w:pPr>
    </w:p>
    <w:p w:rsidR="00BA710A" w:rsidRPr="00BA710A" w:rsidRDefault="00BA710A" w:rsidP="00BA710A">
      <w:pPr>
        <w:pStyle w:val="Prrafodelista"/>
        <w:tabs>
          <w:tab w:val="left" w:pos="567"/>
        </w:tabs>
        <w:spacing w:line="360" w:lineRule="auto"/>
        <w:ind w:left="644"/>
        <w:jc w:val="both"/>
        <w:rPr>
          <w:rFonts w:cs="Arial"/>
          <w:bCs/>
          <w:sz w:val="22"/>
        </w:rPr>
      </w:pPr>
      <w:r w:rsidRPr="00BA710A">
        <w:rPr>
          <w:rFonts w:cs="Arial"/>
          <w:bCs/>
          <w:sz w:val="22"/>
        </w:rPr>
        <w:t>C.</w:t>
      </w:r>
      <w:r w:rsidRPr="00BA710A">
        <w:rPr>
          <w:rFonts w:cs="Arial"/>
          <w:bCs/>
          <w:sz w:val="22"/>
        </w:rPr>
        <w:tab/>
        <w:t xml:space="preserve">Hacia el límite sur del terreno materia de estudio y donde no existe ninguna </w:t>
      </w:r>
      <w:proofErr w:type="spellStart"/>
      <w:r w:rsidRPr="00BA710A">
        <w:rPr>
          <w:rFonts w:cs="Arial"/>
          <w:bCs/>
          <w:sz w:val="22"/>
        </w:rPr>
        <w:t>via</w:t>
      </w:r>
      <w:proofErr w:type="spellEnd"/>
      <w:r w:rsidRPr="00BA710A">
        <w:rPr>
          <w:rFonts w:cs="Arial"/>
          <w:bCs/>
          <w:sz w:val="22"/>
        </w:rPr>
        <w:t xml:space="preserve"> publica se plantea esta denominada Avenida “B” de 19.50 metros de ancho, que será afectada a este terreno y al colindante, quienes deberán ceder 50% de su ancho cada uno, y cuya característica destacable es que también incluye una sección para ciclovía de 2.50 metros de ancho y su separador de 0.80 metros, tratando de que conforme un sistema de ciclovias que facilite el cambio de movilidad de los trabajadores que viven en la zona urbana de Chilca a no </w:t>
      </w:r>
      <w:proofErr w:type="spellStart"/>
      <w:r w:rsidRPr="00BA710A">
        <w:rPr>
          <w:rFonts w:cs="Arial"/>
          <w:bCs/>
          <w:sz w:val="22"/>
        </w:rPr>
        <w:t>mas</w:t>
      </w:r>
      <w:proofErr w:type="spellEnd"/>
      <w:r w:rsidRPr="00BA710A">
        <w:rPr>
          <w:rFonts w:cs="Arial"/>
          <w:bCs/>
          <w:sz w:val="22"/>
        </w:rPr>
        <w:t xml:space="preserve"> de 1,000 metros de distancia.</w:t>
      </w:r>
    </w:p>
    <w:p w:rsidR="00BA710A" w:rsidRDefault="00BA710A" w:rsidP="00BA710A">
      <w:pPr>
        <w:pStyle w:val="Prrafodelista"/>
        <w:tabs>
          <w:tab w:val="left" w:pos="567"/>
        </w:tabs>
        <w:spacing w:line="360" w:lineRule="auto"/>
        <w:ind w:left="644"/>
        <w:jc w:val="both"/>
        <w:rPr>
          <w:rFonts w:cs="Arial"/>
          <w:bCs/>
          <w:sz w:val="22"/>
        </w:rPr>
      </w:pPr>
    </w:p>
    <w:p w:rsidR="00BA710A" w:rsidRDefault="00BA710A" w:rsidP="00BA710A">
      <w:pPr>
        <w:pStyle w:val="Prrafodelista"/>
        <w:tabs>
          <w:tab w:val="left" w:pos="567"/>
        </w:tabs>
        <w:spacing w:line="360" w:lineRule="auto"/>
        <w:ind w:left="644"/>
        <w:jc w:val="both"/>
        <w:rPr>
          <w:rFonts w:cs="Arial"/>
          <w:bCs/>
          <w:sz w:val="22"/>
        </w:rPr>
      </w:pPr>
      <w:r>
        <w:rPr>
          <w:rFonts w:cs="Arial"/>
          <w:bCs/>
          <w:noProof/>
          <w:sz w:val="22"/>
          <w:lang w:eastAsia="es-PE"/>
        </w:rPr>
        <w:drawing>
          <wp:inline distT="0" distB="0" distL="0" distR="0" wp14:anchorId="44F26909">
            <wp:extent cx="4389755" cy="2036445"/>
            <wp:effectExtent l="0" t="0" r="0" b="190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89755" cy="2036445"/>
                    </a:xfrm>
                    <a:prstGeom prst="rect">
                      <a:avLst/>
                    </a:prstGeom>
                    <a:noFill/>
                  </pic:spPr>
                </pic:pic>
              </a:graphicData>
            </a:graphic>
          </wp:inline>
        </w:drawing>
      </w:r>
    </w:p>
    <w:p w:rsidR="00BA710A" w:rsidRDefault="00BA710A" w:rsidP="00BA710A">
      <w:pPr>
        <w:pStyle w:val="Prrafodelista"/>
        <w:tabs>
          <w:tab w:val="left" w:pos="567"/>
        </w:tabs>
        <w:spacing w:line="360" w:lineRule="auto"/>
        <w:ind w:left="644"/>
        <w:jc w:val="both"/>
        <w:rPr>
          <w:rFonts w:cs="Arial"/>
          <w:bCs/>
          <w:sz w:val="22"/>
        </w:rPr>
      </w:pPr>
    </w:p>
    <w:p w:rsidR="00BA710A" w:rsidRDefault="00BA710A" w:rsidP="00BA710A">
      <w:pPr>
        <w:pStyle w:val="Prrafodelista"/>
        <w:numPr>
          <w:ilvl w:val="0"/>
          <w:numId w:val="10"/>
        </w:numPr>
        <w:tabs>
          <w:tab w:val="left" w:pos="567"/>
        </w:tabs>
        <w:spacing w:line="360" w:lineRule="auto"/>
        <w:jc w:val="both"/>
        <w:rPr>
          <w:rFonts w:cs="Arial"/>
          <w:bCs/>
          <w:sz w:val="22"/>
        </w:rPr>
      </w:pPr>
      <w:r w:rsidRPr="00BA710A">
        <w:rPr>
          <w:rFonts w:cs="Arial"/>
          <w:bCs/>
          <w:sz w:val="22"/>
        </w:rPr>
        <w:t>Igualmente hacia el Este se plantea en coordinación con los propietarios de la parcela 3, colindante con esta</w:t>
      </w:r>
      <w:proofErr w:type="gramStart"/>
      <w:r w:rsidRPr="00BA710A">
        <w:rPr>
          <w:rFonts w:cs="Arial"/>
          <w:bCs/>
          <w:sz w:val="22"/>
        </w:rPr>
        <w:t>,  la</w:t>
      </w:r>
      <w:proofErr w:type="gramEnd"/>
      <w:r w:rsidRPr="00BA710A">
        <w:rPr>
          <w:rFonts w:cs="Arial"/>
          <w:bCs/>
          <w:sz w:val="22"/>
        </w:rPr>
        <w:t xml:space="preserve"> implementación de la avenida “N”, que divide en dos a la primera, con una sección de 38.70 m., a fin de  albergar la línea de transmisión 220 </w:t>
      </w:r>
      <w:proofErr w:type="spellStart"/>
      <w:r w:rsidRPr="00BA710A">
        <w:rPr>
          <w:rFonts w:cs="Arial"/>
          <w:bCs/>
          <w:sz w:val="22"/>
        </w:rPr>
        <w:t>kV</w:t>
      </w:r>
      <w:proofErr w:type="spellEnd"/>
      <w:r w:rsidRPr="00BA710A">
        <w:rPr>
          <w:rFonts w:cs="Arial"/>
          <w:bCs/>
          <w:sz w:val="22"/>
        </w:rPr>
        <w:t xml:space="preserve"> Chilca - Cantera L2090.existente, de la concesionaria Red </w:t>
      </w:r>
      <w:r w:rsidRPr="00BA710A">
        <w:rPr>
          <w:rFonts w:cs="Arial"/>
          <w:bCs/>
          <w:sz w:val="22"/>
        </w:rPr>
        <w:lastRenderedPageBreak/>
        <w:t>de energía eléctrica del Perú S.A., cuyo eje de trazo coincide con el de la vía propuesta.</w:t>
      </w:r>
    </w:p>
    <w:p w:rsidR="00BA710A" w:rsidRPr="00BA710A" w:rsidRDefault="00BA710A" w:rsidP="00BA710A">
      <w:pPr>
        <w:tabs>
          <w:tab w:val="left" w:pos="567"/>
        </w:tabs>
        <w:spacing w:line="360" w:lineRule="auto"/>
        <w:jc w:val="both"/>
        <w:rPr>
          <w:rFonts w:cs="Arial"/>
          <w:bCs/>
          <w:sz w:val="22"/>
        </w:rPr>
      </w:pPr>
    </w:p>
    <w:p w:rsidR="00BA710A" w:rsidRDefault="00BA710A" w:rsidP="00E22F0E">
      <w:pPr>
        <w:tabs>
          <w:tab w:val="left" w:pos="567"/>
        </w:tabs>
        <w:spacing w:line="360" w:lineRule="auto"/>
        <w:ind w:left="284"/>
        <w:jc w:val="both"/>
        <w:rPr>
          <w:rFonts w:cs="Arial"/>
          <w:bCs/>
          <w:sz w:val="22"/>
        </w:rPr>
      </w:pPr>
      <w:r>
        <w:rPr>
          <w:rFonts w:cs="Arial"/>
          <w:bCs/>
          <w:noProof/>
          <w:sz w:val="22"/>
          <w:lang w:eastAsia="es-PE"/>
        </w:rPr>
        <w:drawing>
          <wp:inline distT="0" distB="0" distL="0" distR="0" wp14:anchorId="078F2055">
            <wp:extent cx="5755005" cy="1847215"/>
            <wp:effectExtent l="0" t="0" r="0" b="63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5005" cy="1847215"/>
                    </a:xfrm>
                    <a:prstGeom prst="rect">
                      <a:avLst/>
                    </a:prstGeom>
                    <a:noFill/>
                  </pic:spPr>
                </pic:pic>
              </a:graphicData>
            </a:graphic>
          </wp:inline>
        </w:drawing>
      </w:r>
    </w:p>
    <w:p w:rsidR="00BE5C98" w:rsidRDefault="00BA710A" w:rsidP="00E22F0E">
      <w:pPr>
        <w:tabs>
          <w:tab w:val="left" w:pos="567"/>
        </w:tabs>
        <w:spacing w:line="360" w:lineRule="auto"/>
        <w:ind w:left="284"/>
        <w:jc w:val="both"/>
        <w:rPr>
          <w:rFonts w:cs="Arial"/>
          <w:bCs/>
          <w:sz w:val="22"/>
        </w:rPr>
      </w:pPr>
      <w:r>
        <w:rPr>
          <w:rFonts w:cs="Arial"/>
          <w:bCs/>
          <w:sz w:val="22"/>
        </w:rPr>
        <w:t xml:space="preserve">            </w:t>
      </w:r>
      <w:r>
        <w:rPr>
          <w:rFonts w:cs="Arial"/>
          <w:bCs/>
          <w:noProof/>
          <w:sz w:val="22"/>
          <w:lang w:eastAsia="es-PE"/>
        </w:rPr>
        <w:drawing>
          <wp:inline distT="0" distB="0" distL="0" distR="0" wp14:anchorId="06E0E914">
            <wp:extent cx="4450715" cy="2121535"/>
            <wp:effectExtent l="0" t="0" r="698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0715" cy="2121535"/>
                    </a:xfrm>
                    <a:prstGeom prst="rect">
                      <a:avLst/>
                    </a:prstGeom>
                    <a:noFill/>
                  </pic:spPr>
                </pic:pic>
              </a:graphicData>
            </a:graphic>
          </wp:inline>
        </w:drawing>
      </w:r>
    </w:p>
    <w:p w:rsidR="00BE5C98" w:rsidRDefault="00BE5C98" w:rsidP="00E22F0E">
      <w:pPr>
        <w:tabs>
          <w:tab w:val="left" w:pos="567"/>
        </w:tabs>
        <w:spacing w:line="360" w:lineRule="auto"/>
        <w:ind w:left="284"/>
        <w:jc w:val="both"/>
        <w:rPr>
          <w:rFonts w:cs="Arial"/>
          <w:bCs/>
          <w:sz w:val="22"/>
        </w:rPr>
      </w:pPr>
    </w:p>
    <w:p w:rsidR="00BE5C98" w:rsidRPr="00034F52" w:rsidRDefault="00BE5C98" w:rsidP="00E22F0E">
      <w:pPr>
        <w:tabs>
          <w:tab w:val="left" w:pos="567"/>
        </w:tabs>
        <w:spacing w:line="360" w:lineRule="auto"/>
        <w:ind w:left="284"/>
        <w:jc w:val="both"/>
        <w:rPr>
          <w:rFonts w:cs="Arial"/>
          <w:bCs/>
          <w:sz w:val="22"/>
        </w:rPr>
      </w:pPr>
    </w:p>
    <w:p w:rsidR="00B01AF5" w:rsidRPr="004B4854" w:rsidRDefault="00034F52" w:rsidP="00E22F0E">
      <w:pPr>
        <w:tabs>
          <w:tab w:val="left" w:pos="567"/>
        </w:tabs>
        <w:spacing w:line="360" w:lineRule="auto"/>
        <w:ind w:left="284"/>
        <w:jc w:val="both"/>
        <w:rPr>
          <w:rFonts w:cs="Arial"/>
          <w:b/>
          <w:bCs/>
          <w:sz w:val="20"/>
          <w:szCs w:val="20"/>
        </w:rPr>
      </w:pPr>
      <w:r w:rsidRPr="00034F52">
        <w:rPr>
          <w:rFonts w:cs="Arial"/>
          <w:bCs/>
          <w:sz w:val="22"/>
        </w:rPr>
        <w:tab/>
      </w:r>
      <w:r w:rsidRPr="00034F52">
        <w:rPr>
          <w:rFonts w:cs="Arial"/>
          <w:bCs/>
          <w:sz w:val="22"/>
        </w:rPr>
        <w:tab/>
      </w:r>
      <w:r w:rsidR="00E22F0E">
        <w:rPr>
          <w:rFonts w:cs="Arial"/>
          <w:bCs/>
          <w:sz w:val="22"/>
        </w:rPr>
        <w:tab/>
      </w:r>
      <w:r w:rsidR="00E22F0E">
        <w:rPr>
          <w:rFonts w:cs="Arial"/>
          <w:bCs/>
          <w:sz w:val="22"/>
        </w:rPr>
        <w:tab/>
      </w:r>
      <w:r w:rsidR="00E22F0E">
        <w:rPr>
          <w:rFonts w:cs="Arial"/>
          <w:bCs/>
          <w:sz w:val="22"/>
        </w:rPr>
        <w:tab/>
      </w:r>
      <w:r w:rsidR="00E22F0E">
        <w:rPr>
          <w:rFonts w:cs="Arial"/>
          <w:bCs/>
          <w:sz w:val="22"/>
        </w:rPr>
        <w:tab/>
        <w:t>A</w:t>
      </w:r>
      <w:r w:rsidR="00B01AF5" w:rsidRPr="004B4854">
        <w:rPr>
          <w:rFonts w:cs="Arial"/>
          <w:b/>
          <w:bCs/>
          <w:sz w:val="20"/>
          <w:szCs w:val="20"/>
        </w:rPr>
        <w:t>RQ. ERIC TAVARA CASTILLO</w:t>
      </w:r>
    </w:p>
    <w:p w:rsidR="00B01AF5" w:rsidRPr="004B4854" w:rsidRDefault="00B01AF5" w:rsidP="00DA282F">
      <w:pPr>
        <w:tabs>
          <w:tab w:val="left" w:pos="5660"/>
        </w:tabs>
        <w:ind w:left="360"/>
        <w:jc w:val="center"/>
        <w:rPr>
          <w:rFonts w:cs="Arial"/>
          <w:b/>
          <w:bCs/>
          <w:sz w:val="20"/>
          <w:szCs w:val="20"/>
        </w:rPr>
      </w:pPr>
      <w:r w:rsidRPr="004B4854">
        <w:rPr>
          <w:rFonts w:cs="Arial"/>
          <w:b/>
          <w:bCs/>
          <w:sz w:val="20"/>
          <w:szCs w:val="20"/>
        </w:rPr>
        <w:t>CAP</w:t>
      </w:r>
      <w:r w:rsidR="009A054E" w:rsidRPr="004B4854">
        <w:rPr>
          <w:rFonts w:cs="Arial"/>
          <w:b/>
          <w:bCs/>
          <w:sz w:val="20"/>
          <w:szCs w:val="20"/>
        </w:rPr>
        <w:t>: 3061</w:t>
      </w:r>
    </w:p>
    <w:sectPr w:rsidR="00B01AF5" w:rsidRPr="004B4854" w:rsidSect="00F84D4B">
      <w:pgSz w:w="11906" w:h="16838"/>
      <w:pgMar w:top="1701" w:right="1701" w:bottom="1701" w:left="187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303FA"/>
    <w:multiLevelType w:val="hybridMultilevel"/>
    <w:tmpl w:val="2DEC3450"/>
    <w:lvl w:ilvl="0" w:tplc="4EB62FB8">
      <w:start w:val="1"/>
      <w:numFmt w:val="decimal"/>
      <w:lvlText w:val="%1."/>
      <w:lvlJc w:val="left"/>
      <w:pPr>
        <w:tabs>
          <w:tab w:val="num" w:pos="1080"/>
        </w:tabs>
        <w:ind w:left="1080" w:hanging="360"/>
      </w:pPr>
      <w:rPr>
        <w:rFonts w:hint="default"/>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
    <w:nsid w:val="12C95021"/>
    <w:multiLevelType w:val="hybridMultilevel"/>
    <w:tmpl w:val="DA7C8ABA"/>
    <w:lvl w:ilvl="0" w:tplc="3F261668">
      <w:start w:val="1"/>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1C0533D2"/>
    <w:multiLevelType w:val="hybridMultilevel"/>
    <w:tmpl w:val="174E4F30"/>
    <w:lvl w:ilvl="0" w:tplc="E0AA5A84">
      <w:start w:val="1"/>
      <w:numFmt w:val="upperLetter"/>
      <w:lvlText w:val="%1."/>
      <w:lvlJc w:val="left"/>
      <w:pPr>
        <w:ind w:left="644" w:hanging="360"/>
      </w:pPr>
      <w:rPr>
        <w:rFonts w:hint="default"/>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3">
    <w:nsid w:val="373E16C4"/>
    <w:multiLevelType w:val="hybridMultilevel"/>
    <w:tmpl w:val="6758089E"/>
    <w:lvl w:ilvl="0" w:tplc="CEF05A3E">
      <w:start w:val="2"/>
      <w:numFmt w:val="bullet"/>
      <w:lvlText w:val="-"/>
      <w:lvlJc w:val="left"/>
      <w:pPr>
        <w:tabs>
          <w:tab w:val="num" w:pos="1065"/>
        </w:tabs>
        <w:ind w:left="1065" w:hanging="360"/>
      </w:pPr>
      <w:rPr>
        <w:rFonts w:ascii="Arial" w:eastAsia="Times New Roman" w:hAnsi="Arial" w:cs="Arial" w:hint="default"/>
      </w:rPr>
    </w:lvl>
    <w:lvl w:ilvl="1" w:tplc="0C0A0003" w:tentative="1">
      <w:start w:val="1"/>
      <w:numFmt w:val="bullet"/>
      <w:lvlText w:val="o"/>
      <w:lvlJc w:val="left"/>
      <w:pPr>
        <w:tabs>
          <w:tab w:val="num" w:pos="1785"/>
        </w:tabs>
        <w:ind w:left="1785" w:hanging="360"/>
      </w:pPr>
      <w:rPr>
        <w:rFonts w:ascii="Courier New" w:hAnsi="Courier New" w:cs="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cs="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cs="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4">
    <w:nsid w:val="39C6333C"/>
    <w:multiLevelType w:val="hybridMultilevel"/>
    <w:tmpl w:val="BCF0E252"/>
    <w:lvl w:ilvl="0" w:tplc="5588D890">
      <w:start w:val="1"/>
      <w:numFmt w:val="decimal"/>
      <w:lvlText w:val="%1."/>
      <w:lvlJc w:val="left"/>
      <w:pPr>
        <w:tabs>
          <w:tab w:val="num" w:pos="1080"/>
        </w:tabs>
        <w:ind w:left="1080" w:hanging="360"/>
      </w:pPr>
      <w:rPr>
        <w:rFonts w:hint="default"/>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5">
    <w:nsid w:val="3D6B643D"/>
    <w:multiLevelType w:val="hybridMultilevel"/>
    <w:tmpl w:val="00DA0E0A"/>
    <w:lvl w:ilvl="0" w:tplc="CAE6848A">
      <w:start w:val="1"/>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52FD760F"/>
    <w:multiLevelType w:val="hybridMultilevel"/>
    <w:tmpl w:val="AFC47156"/>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672960F7"/>
    <w:multiLevelType w:val="hybridMultilevel"/>
    <w:tmpl w:val="66E4A4F2"/>
    <w:lvl w:ilvl="0" w:tplc="0C0A000F">
      <w:start w:val="1"/>
      <w:numFmt w:val="decimal"/>
      <w:lvlText w:val="%1."/>
      <w:lvlJc w:val="left"/>
      <w:pPr>
        <w:tabs>
          <w:tab w:val="num" w:pos="1065"/>
        </w:tabs>
        <w:ind w:left="1065" w:hanging="360"/>
      </w:p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8">
    <w:nsid w:val="68363992"/>
    <w:multiLevelType w:val="hybridMultilevel"/>
    <w:tmpl w:val="B5226924"/>
    <w:lvl w:ilvl="0" w:tplc="0C0A000F">
      <w:start w:val="1"/>
      <w:numFmt w:val="decimal"/>
      <w:lvlText w:val="%1."/>
      <w:lvlJc w:val="left"/>
      <w:pPr>
        <w:tabs>
          <w:tab w:val="num" w:pos="1080"/>
        </w:tabs>
        <w:ind w:left="1080" w:hanging="360"/>
      </w:p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9">
    <w:nsid w:val="7B9430BA"/>
    <w:multiLevelType w:val="hybridMultilevel"/>
    <w:tmpl w:val="2DEC3450"/>
    <w:lvl w:ilvl="0" w:tplc="4EB62FB8">
      <w:start w:val="1"/>
      <w:numFmt w:val="decimal"/>
      <w:lvlText w:val="%1."/>
      <w:lvlJc w:val="left"/>
      <w:pPr>
        <w:tabs>
          <w:tab w:val="num" w:pos="1080"/>
        </w:tabs>
        <w:ind w:left="1080" w:hanging="360"/>
      </w:pPr>
      <w:rPr>
        <w:rFonts w:hint="default"/>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num w:numId="1">
    <w:abstractNumId w:val="8"/>
  </w:num>
  <w:num w:numId="2">
    <w:abstractNumId w:val="4"/>
  </w:num>
  <w:num w:numId="3">
    <w:abstractNumId w:val="9"/>
  </w:num>
  <w:num w:numId="4">
    <w:abstractNumId w:val="7"/>
  </w:num>
  <w:num w:numId="5">
    <w:abstractNumId w:val="1"/>
  </w:num>
  <w:num w:numId="6">
    <w:abstractNumId w:val="6"/>
  </w:num>
  <w:num w:numId="7">
    <w:abstractNumId w:val="5"/>
  </w:num>
  <w:num w:numId="8">
    <w:abstractNumId w:val="3"/>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D4B"/>
    <w:rsid w:val="00010F0D"/>
    <w:rsid w:val="000114B5"/>
    <w:rsid w:val="0001475F"/>
    <w:rsid w:val="00023E0A"/>
    <w:rsid w:val="0003181F"/>
    <w:rsid w:val="00034E0A"/>
    <w:rsid w:val="00034F52"/>
    <w:rsid w:val="00074E67"/>
    <w:rsid w:val="0008007E"/>
    <w:rsid w:val="000841B7"/>
    <w:rsid w:val="000A0AA6"/>
    <w:rsid w:val="000B3E61"/>
    <w:rsid w:val="000B53B4"/>
    <w:rsid w:val="000D05F3"/>
    <w:rsid w:val="000D636D"/>
    <w:rsid w:val="000D6938"/>
    <w:rsid w:val="000E495F"/>
    <w:rsid w:val="00101275"/>
    <w:rsid w:val="00106989"/>
    <w:rsid w:val="001227E6"/>
    <w:rsid w:val="001265E1"/>
    <w:rsid w:val="00136256"/>
    <w:rsid w:val="00142A9A"/>
    <w:rsid w:val="00150FC9"/>
    <w:rsid w:val="00156062"/>
    <w:rsid w:val="00157612"/>
    <w:rsid w:val="00165CE5"/>
    <w:rsid w:val="0016699B"/>
    <w:rsid w:val="00166F69"/>
    <w:rsid w:val="00177AC4"/>
    <w:rsid w:val="001C20FE"/>
    <w:rsid w:val="001C7B0F"/>
    <w:rsid w:val="001E7370"/>
    <w:rsid w:val="00204583"/>
    <w:rsid w:val="00217103"/>
    <w:rsid w:val="00217271"/>
    <w:rsid w:val="00237288"/>
    <w:rsid w:val="002722FC"/>
    <w:rsid w:val="00272C8F"/>
    <w:rsid w:val="00275FD5"/>
    <w:rsid w:val="002968C8"/>
    <w:rsid w:val="002C1DFF"/>
    <w:rsid w:val="002D6ED4"/>
    <w:rsid w:val="002E091C"/>
    <w:rsid w:val="0030090C"/>
    <w:rsid w:val="00301308"/>
    <w:rsid w:val="0031037B"/>
    <w:rsid w:val="00311445"/>
    <w:rsid w:val="00344B89"/>
    <w:rsid w:val="00355A09"/>
    <w:rsid w:val="00377BBC"/>
    <w:rsid w:val="0038102B"/>
    <w:rsid w:val="0038111E"/>
    <w:rsid w:val="00391050"/>
    <w:rsid w:val="003C0562"/>
    <w:rsid w:val="003D03C7"/>
    <w:rsid w:val="003D57CE"/>
    <w:rsid w:val="003D674B"/>
    <w:rsid w:val="003E3C1D"/>
    <w:rsid w:val="004001A0"/>
    <w:rsid w:val="004028A5"/>
    <w:rsid w:val="004031A9"/>
    <w:rsid w:val="00406144"/>
    <w:rsid w:val="00433F24"/>
    <w:rsid w:val="004351B9"/>
    <w:rsid w:val="00435D3C"/>
    <w:rsid w:val="00441021"/>
    <w:rsid w:val="00442AA7"/>
    <w:rsid w:val="004627DB"/>
    <w:rsid w:val="00480575"/>
    <w:rsid w:val="00485BF8"/>
    <w:rsid w:val="004B4854"/>
    <w:rsid w:val="004F2EE2"/>
    <w:rsid w:val="00501F85"/>
    <w:rsid w:val="00502F89"/>
    <w:rsid w:val="0051068F"/>
    <w:rsid w:val="00516861"/>
    <w:rsid w:val="0051694C"/>
    <w:rsid w:val="0053172F"/>
    <w:rsid w:val="00567652"/>
    <w:rsid w:val="00586EFE"/>
    <w:rsid w:val="00594214"/>
    <w:rsid w:val="00595B22"/>
    <w:rsid w:val="00610BBB"/>
    <w:rsid w:val="006213AD"/>
    <w:rsid w:val="00623B22"/>
    <w:rsid w:val="0068280F"/>
    <w:rsid w:val="00692DEE"/>
    <w:rsid w:val="006961F8"/>
    <w:rsid w:val="006A5F09"/>
    <w:rsid w:val="006B7E1B"/>
    <w:rsid w:val="00710D89"/>
    <w:rsid w:val="00726AF8"/>
    <w:rsid w:val="0075417C"/>
    <w:rsid w:val="007617D2"/>
    <w:rsid w:val="00767519"/>
    <w:rsid w:val="00795EDF"/>
    <w:rsid w:val="007B4DE0"/>
    <w:rsid w:val="007C2532"/>
    <w:rsid w:val="007D5436"/>
    <w:rsid w:val="007E7AE4"/>
    <w:rsid w:val="007F3C4B"/>
    <w:rsid w:val="00812FDB"/>
    <w:rsid w:val="008156CD"/>
    <w:rsid w:val="008328D9"/>
    <w:rsid w:val="00857581"/>
    <w:rsid w:val="00866F23"/>
    <w:rsid w:val="008A7107"/>
    <w:rsid w:val="008C61C5"/>
    <w:rsid w:val="008D0D56"/>
    <w:rsid w:val="008E7186"/>
    <w:rsid w:val="008F171F"/>
    <w:rsid w:val="008F401D"/>
    <w:rsid w:val="008F7E88"/>
    <w:rsid w:val="009216AC"/>
    <w:rsid w:val="00921F78"/>
    <w:rsid w:val="00976638"/>
    <w:rsid w:val="00976C16"/>
    <w:rsid w:val="009A054E"/>
    <w:rsid w:val="009A5AE4"/>
    <w:rsid w:val="009C2945"/>
    <w:rsid w:val="009C763A"/>
    <w:rsid w:val="009E04B2"/>
    <w:rsid w:val="009E4321"/>
    <w:rsid w:val="009E6715"/>
    <w:rsid w:val="009E754C"/>
    <w:rsid w:val="009F301E"/>
    <w:rsid w:val="009F486F"/>
    <w:rsid w:val="00A00F6B"/>
    <w:rsid w:val="00A26BF5"/>
    <w:rsid w:val="00A338DE"/>
    <w:rsid w:val="00A51224"/>
    <w:rsid w:val="00A73AED"/>
    <w:rsid w:val="00AA0432"/>
    <w:rsid w:val="00AB4A4B"/>
    <w:rsid w:val="00AD55BC"/>
    <w:rsid w:val="00AD64FB"/>
    <w:rsid w:val="00AE1025"/>
    <w:rsid w:val="00B015B9"/>
    <w:rsid w:val="00B01AF5"/>
    <w:rsid w:val="00B046FC"/>
    <w:rsid w:val="00B51260"/>
    <w:rsid w:val="00B654A6"/>
    <w:rsid w:val="00B67137"/>
    <w:rsid w:val="00B81941"/>
    <w:rsid w:val="00B97EFC"/>
    <w:rsid w:val="00BA710A"/>
    <w:rsid w:val="00BD139C"/>
    <w:rsid w:val="00BE5C98"/>
    <w:rsid w:val="00BF285E"/>
    <w:rsid w:val="00C02055"/>
    <w:rsid w:val="00C03A1A"/>
    <w:rsid w:val="00C10707"/>
    <w:rsid w:val="00C65CAE"/>
    <w:rsid w:val="00C93FDF"/>
    <w:rsid w:val="00CE789F"/>
    <w:rsid w:val="00CF1149"/>
    <w:rsid w:val="00D24423"/>
    <w:rsid w:val="00D2699C"/>
    <w:rsid w:val="00D36DBA"/>
    <w:rsid w:val="00D6131B"/>
    <w:rsid w:val="00D71E06"/>
    <w:rsid w:val="00D83860"/>
    <w:rsid w:val="00DA26E3"/>
    <w:rsid w:val="00DA282F"/>
    <w:rsid w:val="00DC39AA"/>
    <w:rsid w:val="00DC4E3F"/>
    <w:rsid w:val="00DD6041"/>
    <w:rsid w:val="00DF5B51"/>
    <w:rsid w:val="00E0661F"/>
    <w:rsid w:val="00E10FF8"/>
    <w:rsid w:val="00E1648F"/>
    <w:rsid w:val="00E2010B"/>
    <w:rsid w:val="00E20BB9"/>
    <w:rsid w:val="00E22F0E"/>
    <w:rsid w:val="00E5791F"/>
    <w:rsid w:val="00E62D64"/>
    <w:rsid w:val="00E659F9"/>
    <w:rsid w:val="00E6791E"/>
    <w:rsid w:val="00EE72C6"/>
    <w:rsid w:val="00F1272B"/>
    <w:rsid w:val="00F14273"/>
    <w:rsid w:val="00F17AF8"/>
    <w:rsid w:val="00F70720"/>
    <w:rsid w:val="00F70A31"/>
    <w:rsid w:val="00F82F4F"/>
    <w:rsid w:val="00F84D4B"/>
    <w:rsid w:val="00F96F33"/>
    <w:rsid w:val="00F97650"/>
    <w:rsid w:val="00FA78EA"/>
    <w:rsid w:val="00FB792A"/>
    <w:rsid w:val="00FD3E18"/>
    <w:rsid w:val="00FF0F1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B7AD6D9-A20E-485E-B8A2-6CF61E460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EFC"/>
    <w:rPr>
      <w:rFonts w:ascii="Arial" w:hAnsi="Arial"/>
      <w:sz w:val="24"/>
      <w:szCs w:val="24"/>
      <w:lang w:val="es-PE"/>
    </w:rPr>
  </w:style>
  <w:style w:type="paragraph" w:styleId="Ttulo2">
    <w:name w:val="heading 2"/>
    <w:basedOn w:val="Normal"/>
    <w:next w:val="Normal"/>
    <w:link w:val="Ttulo2Car"/>
    <w:qFormat/>
    <w:rsid w:val="00F84D4B"/>
    <w:pPr>
      <w:keepNext/>
      <w:tabs>
        <w:tab w:val="left" w:pos="5660"/>
      </w:tabs>
      <w:jc w:val="both"/>
      <w:outlineLvl w:val="1"/>
    </w:pPr>
    <w:rPr>
      <w:rFonts w:cs="Arial"/>
      <w:b/>
      <w:sz w:val="22"/>
      <w:szCs w:val="20"/>
    </w:rPr>
  </w:style>
  <w:style w:type="paragraph" w:styleId="Ttulo3">
    <w:name w:val="heading 3"/>
    <w:basedOn w:val="Normal"/>
    <w:next w:val="Normal"/>
    <w:qFormat/>
    <w:rsid w:val="00F84D4B"/>
    <w:pPr>
      <w:keepNext/>
      <w:jc w:val="both"/>
      <w:outlineLvl w:val="2"/>
    </w:pPr>
    <w:rPr>
      <w:rFonts w:cs="Arial"/>
      <w:b/>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2detindependiente">
    <w:name w:val="Body Text Indent 2"/>
    <w:basedOn w:val="Normal"/>
    <w:link w:val="Sangra2detindependienteCar"/>
    <w:rsid w:val="00F84D4B"/>
    <w:pPr>
      <w:tabs>
        <w:tab w:val="left" w:pos="360"/>
      </w:tabs>
      <w:ind w:left="283"/>
      <w:jc w:val="both"/>
    </w:pPr>
    <w:rPr>
      <w:rFonts w:cs="Arial"/>
      <w:bCs/>
      <w:szCs w:val="20"/>
    </w:rPr>
  </w:style>
  <w:style w:type="table" w:styleId="Tablaconcuadrcula">
    <w:name w:val="Table Grid"/>
    <w:basedOn w:val="Tablanormal"/>
    <w:rsid w:val="00EE72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150FC9"/>
    <w:pPr>
      <w:ind w:left="720"/>
      <w:contextualSpacing/>
    </w:pPr>
  </w:style>
  <w:style w:type="paragraph" w:styleId="Textodeglobo">
    <w:name w:val="Balloon Text"/>
    <w:basedOn w:val="Normal"/>
    <w:link w:val="TextodegloboCar"/>
    <w:rsid w:val="003C0562"/>
    <w:rPr>
      <w:rFonts w:ascii="Tahoma" w:hAnsi="Tahoma" w:cs="Tahoma"/>
      <w:sz w:val="16"/>
      <w:szCs w:val="16"/>
    </w:rPr>
  </w:style>
  <w:style w:type="character" w:customStyle="1" w:styleId="TextodegloboCar">
    <w:name w:val="Texto de globo Car"/>
    <w:basedOn w:val="Fuentedeprrafopredeter"/>
    <w:link w:val="Textodeglobo"/>
    <w:rsid w:val="003C0562"/>
    <w:rPr>
      <w:rFonts w:ascii="Tahoma" w:hAnsi="Tahoma" w:cs="Tahoma"/>
      <w:sz w:val="16"/>
      <w:szCs w:val="16"/>
      <w:lang w:val="es-PE"/>
    </w:rPr>
  </w:style>
  <w:style w:type="character" w:styleId="Ttulodellibro">
    <w:name w:val="Book Title"/>
    <w:basedOn w:val="Fuentedeprrafopredeter"/>
    <w:uiPriority w:val="33"/>
    <w:qFormat/>
    <w:rsid w:val="00355A09"/>
    <w:rPr>
      <w:b/>
      <w:bCs/>
      <w:i/>
      <w:iCs/>
      <w:spacing w:val="5"/>
    </w:rPr>
  </w:style>
  <w:style w:type="character" w:customStyle="1" w:styleId="Sangra2detindependienteCar">
    <w:name w:val="Sangría 2 de t. independiente Car"/>
    <w:basedOn w:val="Fuentedeprrafopredeter"/>
    <w:link w:val="Sangra2detindependiente"/>
    <w:rsid w:val="00E1648F"/>
    <w:rPr>
      <w:rFonts w:ascii="Arial" w:hAnsi="Arial" w:cs="Arial"/>
      <w:bCs/>
      <w:sz w:val="24"/>
      <w:lang w:val="es-PE"/>
    </w:rPr>
  </w:style>
  <w:style w:type="character" w:customStyle="1" w:styleId="Ttulo2Car">
    <w:name w:val="Título 2 Car"/>
    <w:basedOn w:val="Fuentedeprrafopredeter"/>
    <w:link w:val="Ttulo2"/>
    <w:rsid w:val="009216AC"/>
    <w:rPr>
      <w:rFonts w:ascii="Arial" w:hAnsi="Arial" w:cs="Arial"/>
      <w:b/>
      <w:sz w:val="22"/>
      <w:lang w:val="es-PE"/>
    </w:rPr>
  </w:style>
  <w:style w:type="paragraph" w:styleId="Subttulo">
    <w:name w:val="Subtitle"/>
    <w:basedOn w:val="Normal"/>
    <w:next w:val="Normal"/>
    <w:link w:val="SubttuloCar"/>
    <w:qFormat/>
    <w:rsid w:val="00E22F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tuloCar">
    <w:name w:val="Subtítulo Car"/>
    <w:basedOn w:val="Fuentedeprrafopredeter"/>
    <w:link w:val="Subttulo"/>
    <w:rsid w:val="00E22F0E"/>
    <w:rPr>
      <w:rFonts w:asciiTheme="minorHAnsi" w:eastAsiaTheme="minorEastAsia" w:hAnsiTheme="minorHAnsi" w:cstheme="minorBidi"/>
      <w:color w:val="5A5A5A" w:themeColor="text1" w:themeTint="A5"/>
      <w:spacing w:val="15"/>
      <w:sz w:val="22"/>
      <w:szCs w:val="22"/>
      <w:lang w:val="es-PE"/>
    </w:rPr>
  </w:style>
  <w:style w:type="character" w:styleId="nfasis">
    <w:name w:val="Emphasis"/>
    <w:basedOn w:val="Fuentedeprrafopredeter"/>
    <w:qFormat/>
    <w:rsid w:val="00E22F0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45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299</TotalTime>
  <Pages>9</Pages>
  <Words>2381</Words>
  <Characters>13099</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MEMORIA DESCRIPTIVA</vt:lpstr>
    </vt:vector>
  </TitlesOfParts>
  <Company/>
  <LinksUpToDate>false</LinksUpToDate>
  <CharactersWithSpaces>15450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 DESCRIPTIVA</dc:title>
  <dc:subject/>
  <dc:creator>Fernando</dc:creator>
  <cp:keywords/>
  <dc:description/>
  <cp:lastModifiedBy>eric antonio tavara castillo</cp:lastModifiedBy>
  <cp:revision>8</cp:revision>
  <cp:lastPrinted>2008-06-06T05:23:00Z</cp:lastPrinted>
  <dcterms:created xsi:type="dcterms:W3CDTF">2018-08-17T16:09:00Z</dcterms:created>
  <dcterms:modified xsi:type="dcterms:W3CDTF">2018-10-04T19:15:00Z</dcterms:modified>
</cp:coreProperties>
</file>